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C7C97" w14:textId="5DB680B3" w:rsidR="00BB3EA3" w:rsidRPr="00CE0424" w:rsidRDefault="00BB3EA3" w:rsidP="00BB3EA3">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Tdoc R2-1</w:t>
      </w:r>
      <w:r>
        <w:rPr>
          <w:sz w:val="32"/>
          <w:szCs w:val="32"/>
        </w:rPr>
        <w:t>7</w:t>
      </w:r>
      <w:r w:rsidR="00D62ADC">
        <w:rPr>
          <w:sz w:val="32"/>
          <w:szCs w:val="32"/>
        </w:rPr>
        <w:t>04375</w:t>
      </w:r>
    </w:p>
    <w:p w14:paraId="73D49886" w14:textId="1D7BBCFB" w:rsidR="00BB3EA3" w:rsidRPr="00CE0424" w:rsidRDefault="00BB3EA3" w:rsidP="00BB3EA3">
      <w:pPr>
        <w:pStyle w:val="3GPPHeader"/>
      </w:pPr>
      <w:r>
        <w:t>Hangz</w:t>
      </w:r>
      <w:r w:rsidR="00FD6F6A">
        <w:t>h</w:t>
      </w:r>
      <w:r>
        <w:t>ou, P.R. of China, 15</w:t>
      </w:r>
      <w:r w:rsidRPr="00C544E1">
        <w:rPr>
          <w:vertAlign w:val="superscript"/>
        </w:rPr>
        <w:t>th</w:t>
      </w:r>
      <w:r>
        <w:t xml:space="preserve"> – 19</w:t>
      </w:r>
      <w:r w:rsidRPr="00AE3743">
        <w:rPr>
          <w:vertAlign w:val="superscript"/>
        </w:rPr>
        <w:t>th</w:t>
      </w:r>
      <w:r>
        <w:t xml:space="preserve"> May 2017</w:t>
      </w:r>
    </w:p>
    <w:p w14:paraId="38E4B54F" w14:textId="77777777" w:rsidR="00686697" w:rsidRPr="00CE0424" w:rsidRDefault="00686697" w:rsidP="00686697">
      <w:pPr>
        <w:pStyle w:val="3GPPHeader"/>
      </w:pPr>
    </w:p>
    <w:p w14:paraId="439F1EFB" w14:textId="357B9B23" w:rsidR="00140DC8" w:rsidRPr="00833657" w:rsidRDefault="00140DC8" w:rsidP="00140DC8">
      <w:pPr>
        <w:pStyle w:val="3GPPHeader"/>
        <w:rPr>
          <w:sz w:val="22"/>
          <w:szCs w:val="22"/>
        </w:rPr>
      </w:pPr>
      <w:r w:rsidRPr="00833657">
        <w:rPr>
          <w:sz w:val="22"/>
          <w:szCs w:val="22"/>
        </w:rPr>
        <w:t>Agenda Item:</w:t>
      </w:r>
      <w:r w:rsidRPr="00833657">
        <w:rPr>
          <w:sz w:val="22"/>
          <w:szCs w:val="22"/>
        </w:rPr>
        <w:tab/>
      </w:r>
      <w:r w:rsidR="000561F2" w:rsidRPr="00833657">
        <w:rPr>
          <w:sz w:val="22"/>
          <w:szCs w:val="22"/>
        </w:rPr>
        <w:t>10.3.1.5</w:t>
      </w:r>
    </w:p>
    <w:p w14:paraId="4A746DF5" w14:textId="77777777" w:rsidR="00140DC8" w:rsidRDefault="00140DC8" w:rsidP="00140DC8">
      <w:pPr>
        <w:pStyle w:val="3GPPHeader"/>
        <w:rPr>
          <w:sz w:val="22"/>
          <w:szCs w:val="22"/>
        </w:rPr>
      </w:pPr>
      <w:r>
        <w:rPr>
          <w:sz w:val="22"/>
          <w:szCs w:val="22"/>
        </w:rPr>
        <w:t>Source:</w:t>
      </w:r>
      <w:r>
        <w:rPr>
          <w:sz w:val="22"/>
          <w:szCs w:val="22"/>
        </w:rPr>
        <w:tab/>
        <w:t>Ericsson</w:t>
      </w:r>
    </w:p>
    <w:p w14:paraId="4DCAD55B" w14:textId="5A73AA6D" w:rsidR="00686697" w:rsidRPr="00F07031" w:rsidRDefault="00686697" w:rsidP="00686697">
      <w:pPr>
        <w:pStyle w:val="3GPPHeader"/>
        <w:rPr>
          <w:sz w:val="22"/>
          <w:szCs w:val="22"/>
        </w:rPr>
      </w:pPr>
      <w:r w:rsidRPr="00F07031">
        <w:rPr>
          <w:sz w:val="22"/>
          <w:szCs w:val="22"/>
        </w:rPr>
        <w:t>Title:</w:t>
      </w:r>
      <w:r w:rsidRPr="00F07031">
        <w:rPr>
          <w:sz w:val="22"/>
          <w:szCs w:val="22"/>
        </w:rPr>
        <w:tab/>
      </w:r>
      <w:r w:rsidR="00A02C19">
        <w:rPr>
          <w:sz w:val="22"/>
          <w:szCs w:val="22"/>
        </w:rPr>
        <w:t xml:space="preserve">SR </w:t>
      </w:r>
      <w:r w:rsidR="00833657">
        <w:rPr>
          <w:sz w:val="22"/>
          <w:szCs w:val="22"/>
        </w:rPr>
        <w:t xml:space="preserve">signalling </w:t>
      </w:r>
      <w:r w:rsidR="00A02C19">
        <w:rPr>
          <w:sz w:val="22"/>
          <w:szCs w:val="22"/>
        </w:rPr>
        <w:t xml:space="preserve">content </w:t>
      </w:r>
      <w:r>
        <w:rPr>
          <w:sz w:val="22"/>
          <w:szCs w:val="22"/>
        </w:rPr>
        <w:t>in NR</w:t>
      </w:r>
    </w:p>
    <w:p w14:paraId="7967DEDE" w14:textId="77777777" w:rsidR="00686697" w:rsidRPr="00CE0424" w:rsidRDefault="00686697" w:rsidP="00686697">
      <w:pPr>
        <w:pStyle w:val="3GPPHeader"/>
        <w:rPr>
          <w:sz w:val="22"/>
          <w:szCs w:val="22"/>
        </w:rPr>
      </w:pPr>
      <w:r w:rsidRPr="00F07031">
        <w:rPr>
          <w:sz w:val="22"/>
          <w:szCs w:val="22"/>
        </w:rPr>
        <w:t>Document for:</w:t>
      </w:r>
      <w:r w:rsidRPr="00F07031">
        <w:rPr>
          <w:sz w:val="22"/>
          <w:szCs w:val="22"/>
        </w:rPr>
        <w:tab/>
        <w:t>Discussion, Decision</w:t>
      </w:r>
    </w:p>
    <w:p w14:paraId="3DD46162" w14:textId="77777777" w:rsidR="00E05483" w:rsidRDefault="00E05483" w:rsidP="00E05483">
      <w:pPr>
        <w:pStyle w:val="Heading1"/>
        <w:numPr>
          <w:ilvl w:val="0"/>
          <w:numId w:val="16"/>
        </w:numPr>
        <w:textAlignment w:val="auto"/>
      </w:pPr>
      <w:r>
        <w:t>Introduction</w:t>
      </w:r>
    </w:p>
    <w:p w14:paraId="54AB9ABA" w14:textId="78B9EF49" w:rsidR="00817324" w:rsidRPr="001E0533" w:rsidRDefault="00817324" w:rsidP="006C06E4">
      <w:r>
        <w:rPr>
          <w:bCs/>
          <w:lang w:val="en-US"/>
        </w:rPr>
        <w:t xml:space="preserve">It has been agreed in </w:t>
      </w:r>
      <w:r w:rsidR="006C06E4">
        <w:rPr>
          <w:bCs/>
          <w:lang w:val="en-US"/>
        </w:rPr>
        <w:t xml:space="preserve">#RAN2 97bis </w:t>
      </w:r>
      <w:r>
        <w:rPr>
          <w:bCs/>
          <w:lang w:val="en-US"/>
        </w:rPr>
        <w:t xml:space="preserve">that </w:t>
      </w:r>
      <w:r>
        <w:t xml:space="preserve">the SR should at least distinguish the “numerology/TTI type” of the logical channel that triggered the SR (how this is done is FFS). </w:t>
      </w:r>
      <w:r w:rsidR="006E2EEF">
        <w:t>This contribution further analyses the possible options to enhance SR to achieve the above agreement.</w:t>
      </w:r>
      <w:r>
        <w:t xml:space="preserve"> </w:t>
      </w:r>
    </w:p>
    <w:p w14:paraId="03CF10DC" w14:textId="0DF5A300" w:rsidR="00E05483" w:rsidRDefault="00E05483" w:rsidP="00E05483">
      <w:pPr>
        <w:pStyle w:val="Heading1"/>
        <w:numPr>
          <w:ilvl w:val="0"/>
          <w:numId w:val="16"/>
        </w:numPr>
        <w:textAlignment w:val="auto"/>
      </w:pPr>
      <w:bookmarkStart w:id="0" w:name="_Ref178064866"/>
      <w:r>
        <w:t>Discussion</w:t>
      </w:r>
      <w:bookmarkEnd w:id="0"/>
    </w:p>
    <w:p w14:paraId="6CAE80F6" w14:textId="5E0C46CC" w:rsidR="00140DC8" w:rsidRPr="00AB5E74" w:rsidRDefault="00140DC8" w:rsidP="00140DC8">
      <w:bookmarkStart w:id="1" w:name="_Toc462843369"/>
      <w:bookmarkStart w:id="2" w:name="_Toc462843271"/>
      <w:bookmarkStart w:id="3" w:name="_Toc462843283"/>
      <w:bookmarkStart w:id="4" w:name="_Toc462843312"/>
      <w:bookmarkStart w:id="5" w:name="_Toc462843326"/>
      <w:bookmarkStart w:id="6" w:name="_Toc462843273"/>
      <w:bookmarkStart w:id="7" w:name="_Toc462843285"/>
      <w:bookmarkStart w:id="8" w:name="_Toc462843314"/>
      <w:bookmarkStart w:id="9" w:name="_Toc462843328"/>
      <w:bookmarkStart w:id="10" w:name="_Toc462843372"/>
      <w:bookmarkStart w:id="11" w:name="_Toc462843274"/>
      <w:bookmarkStart w:id="12" w:name="_Toc462843286"/>
      <w:bookmarkStart w:id="13" w:name="_Toc462843315"/>
      <w:bookmarkStart w:id="14" w:name="_Toc462843329"/>
      <w:bookmarkStart w:id="15" w:name="_Toc462843373"/>
      <w:bookmarkStart w:id="16" w:name="_Toc462843275"/>
      <w:bookmarkStart w:id="17" w:name="_Toc462843287"/>
      <w:bookmarkStart w:id="18" w:name="_Toc462843316"/>
      <w:bookmarkStart w:id="19" w:name="_Toc462843330"/>
      <w:bookmarkStart w:id="20" w:name="_Toc462843374"/>
      <w:bookmarkStart w:id="21" w:name="_Toc462843276"/>
      <w:bookmarkStart w:id="22" w:name="_Toc462843288"/>
      <w:bookmarkStart w:id="23" w:name="_Toc462843317"/>
      <w:bookmarkStart w:id="24" w:name="_Toc462843331"/>
      <w:bookmarkStart w:id="25" w:name="_Toc462843375"/>
      <w:bookmarkStart w:id="26" w:name="_Toc457910612"/>
      <w:bookmarkStart w:id="27" w:name="_Toc458413505"/>
      <w:bookmarkStart w:id="28" w:name="_Toc458718272"/>
      <w:bookmarkStart w:id="29" w:name="_Toc4587183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AB5E74">
        <w:t xml:space="preserve">The scheduling entity </w:t>
      </w:r>
      <w:r w:rsidR="00C526CF" w:rsidRPr="00AB5E74">
        <w:t>should</w:t>
      </w:r>
      <w:r w:rsidRPr="00AB5E74">
        <w:t xml:space="preserve"> be aware of the information including</w:t>
      </w:r>
    </w:p>
    <w:p w14:paraId="7D965CE4" w14:textId="77777777" w:rsidR="00140DC8" w:rsidRPr="00AB5E74" w:rsidRDefault="00140DC8" w:rsidP="00140DC8">
      <w:pPr>
        <w:pStyle w:val="ListParagraph"/>
        <w:numPr>
          <w:ilvl w:val="0"/>
          <w:numId w:val="29"/>
        </w:numPr>
      </w:pPr>
      <w:r w:rsidRPr="00AB5E74">
        <w:t>An indication that UE has data to transmit</w:t>
      </w:r>
    </w:p>
    <w:p w14:paraId="0C769D07" w14:textId="0C32AE75" w:rsidR="00140DC8" w:rsidRPr="00AB5E74" w:rsidRDefault="00140DC8" w:rsidP="00140DC8">
      <w:pPr>
        <w:pStyle w:val="ListParagraph"/>
        <w:numPr>
          <w:ilvl w:val="0"/>
          <w:numId w:val="29"/>
        </w:numPr>
      </w:pPr>
      <w:r w:rsidRPr="00AB5E74">
        <w:t xml:space="preserve">Buffer size for each logical channel </w:t>
      </w:r>
    </w:p>
    <w:p w14:paraId="3D72D54F" w14:textId="0F5B707C" w:rsidR="00140DC8" w:rsidRPr="00AB5E74" w:rsidRDefault="00140DC8" w:rsidP="00140DC8">
      <w:pPr>
        <w:pStyle w:val="ListParagraph"/>
        <w:numPr>
          <w:ilvl w:val="0"/>
          <w:numId w:val="29"/>
        </w:numPr>
      </w:pPr>
      <w:r w:rsidRPr="00AB5E74">
        <w:t>Priority indication for each logical channel</w:t>
      </w:r>
    </w:p>
    <w:p w14:paraId="796E0147" w14:textId="41F6FE71" w:rsidR="00140DC8" w:rsidRPr="00AB5E74" w:rsidRDefault="00140DC8" w:rsidP="00140DC8">
      <w:pPr>
        <w:pStyle w:val="ListParagraph"/>
        <w:numPr>
          <w:ilvl w:val="0"/>
          <w:numId w:val="29"/>
        </w:numPr>
      </w:pPr>
      <w:r w:rsidRPr="00AB5E74">
        <w:t xml:space="preserve">Indication of a set of the associated numerologies/TTI durations for each logical channel </w:t>
      </w:r>
    </w:p>
    <w:p w14:paraId="0D8A2431" w14:textId="5A793E3E" w:rsidR="00D85B16" w:rsidRDefault="00456D36" w:rsidP="00D85B16">
      <w:r>
        <w:t>To reduce the latency due to dynamic scheduling, and improve the resource utilization efficiency, the above information must be provided</w:t>
      </w:r>
      <w:r w:rsidR="009742F2" w:rsidRPr="009742F2">
        <w:t xml:space="preserve"> </w:t>
      </w:r>
      <w:r w:rsidR="009742F2">
        <w:t>on time and accurately</w:t>
      </w:r>
      <w:r>
        <w:t xml:space="preserve"> by UE </w:t>
      </w:r>
      <w:r w:rsidR="009742F2">
        <w:t>via SR and BSR</w:t>
      </w:r>
      <w:r>
        <w:t xml:space="preserve">. </w:t>
      </w:r>
    </w:p>
    <w:p w14:paraId="079B128B" w14:textId="3B8C1423" w:rsidR="00D85B16" w:rsidRDefault="00D85B16" w:rsidP="00D85B16">
      <w:r>
        <w:t>By knowing the type</w:t>
      </w:r>
      <w:r w:rsidR="001D0D23">
        <w:t>/priority</w:t>
      </w:r>
      <w:r>
        <w:t xml:space="preserve"> of </w:t>
      </w:r>
      <w:r w:rsidR="001D0D23">
        <w:t>the logical channel</w:t>
      </w:r>
      <w:r>
        <w:t xml:space="preserve">, </w:t>
      </w:r>
      <w:r w:rsidR="006D6D47">
        <w:t xml:space="preserve">the </w:t>
      </w:r>
      <w:proofErr w:type="spellStart"/>
      <w:r>
        <w:t>gNB</w:t>
      </w:r>
      <w:proofErr w:type="spellEnd"/>
      <w:r>
        <w:t xml:space="preserve"> can provide grants for the traffic that </w:t>
      </w:r>
      <w:r w:rsidR="001D0D23">
        <w:t>should</w:t>
      </w:r>
      <w:r>
        <w:t xml:space="preserve"> be scheduled. This enables a more correct priority handling.</w:t>
      </w:r>
      <w:r w:rsidR="001D0D23">
        <w:t xml:space="preserve"> This is beneficial for RRC signalling or URLLC data. </w:t>
      </w:r>
    </w:p>
    <w:p w14:paraId="37714370" w14:textId="3C649663" w:rsidR="001D0D23" w:rsidRPr="00086E2D" w:rsidRDefault="001D0D23" w:rsidP="001D0D23">
      <w:pPr>
        <w:pStyle w:val="Observation"/>
      </w:pPr>
      <w:bookmarkStart w:id="30" w:name="_Toc476836884"/>
      <w:bookmarkStart w:id="31" w:name="_Toc478044328"/>
      <w:bookmarkStart w:id="32" w:name="_Toc480806229"/>
      <w:bookmarkStart w:id="33" w:name="_Toc481659039"/>
      <w:bookmarkStart w:id="34" w:name="_Toc481753964"/>
      <w:bookmarkStart w:id="35" w:name="_Toc481753974"/>
      <w:bookmarkStart w:id="36" w:name="_Toc481836852"/>
      <w:r>
        <w:t xml:space="preserve">More efficient priority handling is achievable by </w:t>
      </w:r>
      <w:r w:rsidR="002B3F7D">
        <w:t xml:space="preserve">more detailed information </w:t>
      </w:r>
      <w:r w:rsidR="006E2EEF">
        <w:t>provided for</w:t>
      </w:r>
      <w:r>
        <w:t xml:space="preserve"> SR</w:t>
      </w:r>
      <w:bookmarkEnd w:id="30"/>
      <w:bookmarkEnd w:id="31"/>
      <w:bookmarkEnd w:id="32"/>
      <w:bookmarkEnd w:id="33"/>
      <w:r w:rsidR="0008507C">
        <w:t>.</w:t>
      </w:r>
      <w:bookmarkEnd w:id="34"/>
      <w:bookmarkEnd w:id="35"/>
      <w:bookmarkEnd w:id="36"/>
    </w:p>
    <w:p w14:paraId="546535A5" w14:textId="3D744299" w:rsidR="00C46C4F" w:rsidRPr="002F0045" w:rsidRDefault="00C46C4F" w:rsidP="00C46C4F">
      <w:pPr>
        <w:overflowPunct/>
        <w:autoSpaceDE/>
        <w:autoSpaceDN/>
        <w:adjustRightInd/>
        <w:spacing w:before="120" w:after="0" w:line="276" w:lineRule="auto"/>
        <w:jc w:val="left"/>
        <w:textAlignment w:val="auto"/>
        <w:rPr>
          <w:rFonts w:cs="Arial"/>
        </w:rPr>
      </w:pPr>
      <w:r w:rsidRPr="002F0045">
        <w:rPr>
          <w:rFonts w:cs="Arial"/>
          <w:bCs/>
          <w:lang w:val="en-US" w:eastAsia="ko-KR"/>
        </w:rPr>
        <w:t xml:space="preserve">During e-mail discussion </w:t>
      </w:r>
      <w:r w:rsidRPr="002F0045">
        <w:rPr>
          <w:rFonts w:cs="Arial"/>
          <w:lang w:eastAsia="ko-KR"/>
        </w:rPr>
        <w:t xml:space="preserve">[97#62], </w:t>
      </w:r>
      <w:r w:rsidRPr="002F0045">
        <w:rPr>
          <w:rFonts w:cs="Arial"/>
        </w:rPr>
        <w:t xml:space="preserve">there </w:t>
      </w:r>
      <w:r w:rsidR="004D5315">
        <w:rPr>
          <w:rFonts w:cs="Arial"/>
        </w:rPr>
        <w:t>are</w:t>
      </w:r>
      <w:r w:rsidR="004D5315" w:rsidRPr="002F0045">
        <w:rPr>
          <w:rFonts w:cs="Arial"/>
        </w:rPr>
        <w:t xml:space="preserve"> </w:t>
      </w:r>
      <w:r w:rsidRPr="002F0045">
        <w:rPr>
          <w:rFonts w:cs="Arial"/>
        </w:rPr>
        <w:t xml:space="preserve">two options </w:t>
      </w:r>
      <w:r w:rsidR="004D5315">
        <w:rPr>
          <w:rFonts w:cs="Arial"/>
        </w:rPr>
        <w:t xml:space="preserve">that </w:t>
      </w:r>
      <w:r w:rsidRPr="002F0045">
        <w:rPr>
          <w:rFonts w:cs="Arial"/>
        </w:rPr>
        <w:t xml:space="preserve">are under discussions for SR signalling content, i.e., how to convey more information than the indication of the data availability of new data. </w:t>
      </w:r>
    </w:p>
    <w:p w14:paraId="397A9A45" w14:textId="1691A179" w:rsidR="00C46C4F" w:rsidRPr="002F0045" w:rsidDel="00C46C4F" w:rsidRDefault="00C46C4F" w:rsidP="00C46C4F">
      <w:pPr>
        <w:pStyle w:val="ListParagraph"/>
        <w:numPr>
          <w:ilvl w:val="0"/>
          <w:numId w:val="33"/>
        </w:numPr>
        <w:overflowPunct/>
        <w:autoSpaceDE/>
        <w:autoSpaceDN/>
        <w:adjustRightInd/>
        <w:spacing w:before="120" w:after="0" w:line="276" w:lineRule="auto"/>
        <w:jc w:val="left"/>
        <w:textAlignment w:val="auto"/>
        <w:rPr>
          <w:rFonts w:cs="Arial"/>
        </w:rPr>
      </w:pPr>
      <w:r w:rsidRPr="002F0045">
        <w:rPr>
          <w:rFonts w:cs="Arial"/>
        </w:rPr>
        <w:t xml:space="preserve">The first option is to introduce </w:t>
      </w:r>
      <w:r w:rsidRPr="002F0045">
        <w:rPr>
          <w:rFonts w:cs="Arial"/>
          <w:lang w:eastAsia="ko-KR"/>
        </w:rPr>
        <w:t xml:space="preserve">multiple SR configurations for single-bit SR, where different SR resources (in either time domain or frequency domain) are allocated to different LCHs/LCGs. If the UE triggers SR separately </w:t>
      </w:r>
      <w:r w:rsidR="009975EE">
        <w:rPr>
          <w:rFonts w:cs="Arial"/>
          <w:lang w:eastAsia="ko-KR"/>
        </w:rPr>
        <w:t>for different LCHs/LCGs</w:t>
      </w:r>
      <w:r w:rsidRPr="002F0045">
        <w:rPr>
          <w:rFonts w:cs="Arial"/>
          <w:lang w:eastAsia="ko-KR"/>
        </w:rPr>
        <w:t xml:space="preserve">, upon reception of a SR, </w:t>
      </w:r>
      <w:proofErr w:type="spellStart"/>
      <w:r w:rsidRPr="002F0045">
        <w:rPr>
          <w:rFonts w:cs="Arial"/>
          <w:lang w:eastAsia="ko-KR"/>
        </w:rPr>
        <w:t>gNB</w:t>
      </w:r>
      <w:proofErr w:type="spellEnd"/>
      <w:r w:rsidRPr="002F0045">
        <w:rPr>
          <w:rFonts w:cs="Arial"/>
          <w:lang w:eastAsia="ko-KR"/>
        </w:rPr>
        <w:t xml:space="preserve"> can identify the associated LCHs/LCG</w:t>
      </w:r>
      <w:r w:rsidR="007B2529">
        <w:rPr>
          <w:rFonts w:cs="Arial"/>
          <w:lang w:eastAsia="ko-KR"/>
        </w:rPr>
        <w:t>s</w:t>
      </w:r>
      <w:r w:rsidRPr="002F0045">
        <w:rPr>
          <w:rFonts w:cs="Arial"/>
          <w:lang w:eastAsia="ko-KR"/>
        </w:rPr>
        <w:t>. As another implementation, different SR transmission periodicities can be used for different SR configurations, i</w:t>
      </w:r>
      <w:r w:rsidRPr="002F0045">
        <w:rPr>
          <w:rFonts w:cs="Arial"/>
        </w:rPr>
        <w:t>n this way, the LCHs/(LCG)s with higher priority levels can be configured with shorter SR transmission intervals, while LCH (LCG)s with lower priority levels can be configured with longer SR transmission intervals.</w:t>
      </w:r>
    </w:p>
    <w:p w14:paraId="7617AE3E" w14:textId="281186FC" w:rsidR="002F0045" w:rsidRPr="002F0045" w:rsidRDefault="00C46C4F" w:rsidP="002F0045">
      <w:pPr>
        <w:pStyle w:val="ListParagraph"/>
        <w:numPr>
          <w:ilvl w:val="0"/>
          <w:numId w:val="33"/>
        </w:numPr>
        <w:overflowPunct/>
        <w:autoSpaceDE/>
        <w:autoSpaceDN/>
        <w:adjustRightInd/>
        <w:spacing w:before="120" w:after="0" w:line="276" w:lineRule="auto"/>
        <w:jc w:val="left"/>
        <w:textAlignment w:val="auto"/>
        <w:rPr>
          <w:rFonts w:cs="Arial"/>
        </w:rPr>
      </w:pPr>
      <w:r w:rsidRPr="002F0045">
        <w:rPr>
          <w:rFonts w:cs="Arial"/>
        </w:rPr>
        <w:t>The second option</w:t>
      </w:r>
      <w:r w:rsidR="002F0045" w:rsidRPr="002F0045">
        <w:rPr>
          <w:rFonts w:cs="Arial"/>
        </w:rPr>
        <w:t xml:space="preserve"> is to support multi-bit SR. </w:t>
      </w:r>
      <w:r w:rsidR="002F0045" w:rsidRPr="002F0045">
        <w:rPr>
          <w:rFonts w:cs="Arial"/>
          <w:szCs w:val="24"/>
          <w:lang w:val="en-US" w:eastAsia="en-US"/>
        </w:rPr>
        <w:t xml:space="preserve">With more bits used in </w:t>
      </w:r>
      <w:r w:rsidR="00B84A12">
        <w:rPr>
          <w:rFonts w:cs="Arial"/>
          <w:szCs w:val="24"/>
          <w:lang w:val="en-US" w:eastAsia="en-US"/>
        </w:rPr>
        <w:t xml:space="preserve">a </w:t>
      </w:r>
      <w:r w:rsidR="002F0045" w:rsidRPr="002F0045">
        <w:rPr>
          <w:rFonts w:cs="Arial"/>
          <w:szCs w:val="24"/>
          <w:lang w:val="en-US" w:eastAsia="en-US"/>
        </w:rPr>
        <w:t xml:space="preserve">SR it would be possible for a UE to provide more detailed information such as the type/priority of the logical channel which has data available. How many bits that </w:t>
      </w:r>
      <w:r w:rsidR="00001DC3">
        <w:rPr>
          <w:rFonts w:cs="Arial"/>
          <w:szCs w:val="24"/>
          <w:lang w:val="en-US" w:eastAsia="en-US"/>
        </w:rPr>
        <w:t xml:space="preserve">a </w:t>
      </w:r>
      <w:r w:rsidR="002F0045" w:rsidRPr="002F0045">
        <w:rPr>
          <w:rFonts w:cs="Arial"/>
          <w:szCs w:val="24"/>
          <w:lang w:val="en-US" w:eastAsia="en-US"/>
        </w:rPr>
        <w:t xml:space="preserve">SR should be extended with, is a question of how to achieve a good trade-off between the increased L1 control channel issues (overhead, design complexity </w:t>
      </w:r>
      <w:proofErr w:type="spellStart"/>
      <w:r w:rsidR="002F0045" w:rsidRPr="002F0045">
        <w:rPr>
          <w:rFonts w:cs="Arial"/>
          <w:szCs w:val="24"/>
          <w:lang w:val="en-US" w:eastAsia="en-US"/>
        </w:rPr>
        <w:t>etc</w:t>
      </w:r>
      <w:proofErr w:type="spellEnd"/>
      <w:r w:rsidR="002F0045" w:rsidRPr="002F0045">
        <w:rPr>
          <w:rFonts w:cs="Arial"/>
          <w:szCs w:val="24"/>
          <w:lang w:val="en-US" w:eastAsia="en-US"/>
        </w:rPr>
        <w:t xml:space="preserve">) and the possible achieved gain in terms of UP latency reduction.  </w:t>
      </w:r>
    </w:p>
    <w:p w14:paraId="004194BA" w14:textId="03B82BDA" w:rsidR="00BA5D7D" w:rsidRDefault="00EA5FF9" w:rsidP="002F0045">
      <w:pPr>
        <w:overflowPunct/>
        <w:autoSpaceDE/>
        <w:autoSpaceDN/>
        <w:adjustRightInd/>
        <w:spacing w:before="120" w:after="0" w:line="276" w:lineRule="auto"/>
        <w:jc w:val="left"/>
        <w:textAlignment w:val="auto"/>
        <w:rPr>
          <w:rFonts w:cs="Arial"/>
          <w:iCs/>
          <w:szCs w:val="24"/>
          <w:lang w:val="en-US" w:eastAsia="en-US"/>
        </w:rPr>
      </w:pPr>
      <w:r>
        <w:rPr>
          <w:rFonts w:cs="Arial"/>
          <w:iCs/>
          <w:szCs w:val="24"/>
          <w:lang w:val="en-US" w:eastAsia="en-US"/>
        </w:rPr>
        <w:t xml:space="preserve">The first option is an enhancement based on LTE SR format, therefore requires minimal standardization efforts. The second option aims to a new </w:t>
      </w:r>
      <w:r w:rsidR="00642EAF">
        <w:rPr>
          <w:rFonts w:cs="Arial"/>
          <w:iCs/>
          <w:szCs w:val="24"/>
          <w:lang w:val="en-US" w:eastAsia="en-US"/>
        </w:rPr>
        <w:t xml:space="preserve">PUCCH </w:t>
      </w:r>
      <w:r>
        <w:rPr>
          <w:rFonts w:cs="Arial"/>
          <w:iCs/>
          <w:szCs w:val="24"/>
          <w:lang w:val="en-US" w:eastAsia="en-US"/>
        </w:rPr>
        <w:t>format</w:t>
      </w:r>
      <w:r w:rsidR="00642EAF">
        <w:rPr>
          <w:rFonts w:cs="Arial"/>
          <w:iCs/>
          <w:szCs w:val="24"/>
          <w:lang w:val="en-US" w:eastAsia="en-US"/>
        </w:rPr>
        <w:t xml:space="preserve"> which requires bigger standardization efforts, and </w:t>
      </w:r>
      <w:r w:rsidR="00642EAF">
        <w:rPr>
          <w:rFonts w:cs="Arial"/>
          <w:iCs/>
          <w:szCs w:val="24"/>
          <w:lang w:val="en-US" w:eastAsia="en-US"/>
        </w:rPr>
        <w:lastRenderedPageBreak/>
        <w:t xml:space="preserve">incurs higher control signaling overhead. From this perspective, we think </w:t>
      </w:r>
      <w:r w:rsidR="00BA5D7D">
        <w:rPr>
          <w:rFonts w:cs="Arial"/>
          <w:iCs/>
          <w:szCs w:val="24"/>
          <w:lang w:val="en-US" w:eastAsia="en-US"/>
        </w:rPr>
        <w:t xml:space="preserve">we should stick to the first option. </w:t>
      </w:r>
      <w:r w:rsidR="00CF2CE2">
        <w:rPr>
          <w:rFonts w:cs="Arial"/>
          <w:iCs/>
          <w:szCs w:val="24"/>
          <w:lang w:val="en-US" w:eastAsia="en-US"/>
        </w:rPr>
        <w:t xml:space="preserve">While at the same time, it is still unclear whether the second option is feasible to introduce in NR. </w:t>
      </w:r>
      <w:r w:rsidR="00EE01E5">
        <w:rPr>
          <w:rFonts w:cs="Arial"/>
          <w:iCs/>
          <w:szCs w:val="24"/>
          <w:lang w:val="en-US" w:eastAsia="en-US"/>
        </w:rPr>
        <w:t>F</w:t>
      </w:r>
      <w:r w:rsidR="00CF2CE2">
        <w:rPr>
          <w:rFonts w:cs="Arial"/>
          <w:iCs/>
          <w:szCs w:val="24"/>
          <w:lang w:val="en-US" w:eastAsia="en-US"/>
        </w:rPr>
        <w:t>urther study by RAN1 is necessary.</w:t>
      </w:r>
    </w:p>
    <w:p w14:paraId="64A29C2F" w14:textId="6C0B1B79" w:rsidR="00CF2CE2" w:rsidRDefault="0008507C" w:rsidP="0008507C">
      <w:pPr>
        <w:pStyle w:val="Proposal"/>
      </w:pPr>
      <w:bookmarkStart w:id="37" w:name="_Toc481700716"/>
      <w:bookmarkStart w:id="38" w:name="_Toc481700717"/>
      <w:bookmarkStart w:id="39" w:name="_Toc481753976"/>
      <w:bookmarkStart w:id="40" w:name="_Toc481590342"/>
      <w:bookmarkStart w:id="41" w:name="_Toc481590452"/>
      <w:bookmarkStart w:id="42" w:name="_Toc481656942"/>
      <w:bookmarkStart w:id="43" w:name="_Toc481659057"/>
      <w:bookmarkStart w:id="44" w:name="_Toc481836841"/>
      <w:bookmarkEnd w:id="37"/>
      <w:r w:rsidRPr="0008507C">
        <w:t>RAN2 should focus on single-bit SR with multiple SR configurations while leaving multi-bit SR discussion up to RAN1 progress</w:t>
      </w:r>
      <w:bookmarkEnd w:id="38"/>
      <w:r>
        <w:t>.</w:t>
      </w:r>
      <w:bookmarkEnd w:id="39"/>
      <w:bookmarkEnd w:id="44"/>
    </w:p>
    <w:bookmarkEnd w:id="40"/>
    <w:bookmarkEnd w:id="41"/>
    <w:bookmarkEnd w:id="42"/>
    <w:bookmarkEnd w:id="43"/>
    <w:p w14:paraId="7CFC015B" w14:textId="77777777" w:rsidR="00EE01E5" w:rsidRDefault="00EE01E5" w:rsidP="00EE01E5">
      <w:r>
        <w:t>Each logical channel may be configured with different TTI lengths/numerology characteristics by the network. So, the network has full knowledge on what TTI lengths/numerology characteristics are associated with each logical channel. Upon reception of a SR, the network identifies its associated LCH/LCG based on the SR configuration/pattern that it uses. Based on the mapping relation between TTI lengths/</w:t>
      </w:r>
      <w:r w:rsidRPr="001C04CE">
        <w:t xml:space="preserve"> </w:t>
      </w:r>
      <w:r>
        <w:t>numerology characteristics and the logical channels, the network can further identify the “numerology/TTI type” associated with the SR.</w:t>
      </w:r>
    </w:p>
    <w:p w14:paraId="5FEFDAF0" w14:textId="43714E47" w:rsidR="00DF76D2" w:rsidRDefault="00DF76D2" w:rsidP="00EE01E5">
      <w:pPr>
        <w:pStyle w:val="Observation"/>
      </w:pPr>
      <w:bookmarkStart w:id="45" w:name="_Toc481659040"/>
      <w:bookmarkStart w:id="46" w:name="_Toc481753965"/>
      <w:bookmarkStart w:id="47" w:name="_Toc481753975"/>
      <w:bookmarkStart w:id="48" w:name="_Toc481836853"/>
      <w:r>
        <w:t>To limit the overhead due to multiple SR resources configured for SR, it may be sufficient to differentiate SRs for LCHs/LCGs with higher priority level</w:t>
      </w:r>
      <w:bookmarkEnd w:id="45"/>
      <w:r>
        <w:t>s</w:t>
      </w:r>
      <w:bookmarkEnd w:id="46"/>
      <w:r>
        <w:t>.</w:t>
      </w:r>
      <w:bookmarkEnd w:id="47"/>
      <w:bookmarkEnd w:id="48"/>
    </w:p>
    <w:p w14:paraId="6ACD098D" w14:textId="18727B19" w:rsidR="00EE01E5" w:rsidRDefault="00EE01E5" w:rsidP="00EE01E5">
      <w:r>
        <w:t xml:space="preserve">A UE may be configured with different SR resources to differentiate SR configurations. This will increase the resource consumption for control channel. To limit the overhead due to this, we should bear in mind that it may be sufficient to differentiate SRs for LCHs/LCGs with higher priority levels. </w:t>
      </w:r>
      <w:r w:rsidR="00DF76D2">
        <w:t>A</w:t>
      </w:r>
      <w:r>
        <w:t xml:space="preserve">ccurate scheduling information for LCH/LCG with lower priority levels can be signalled via BSR. We think that it should be possible to have up to four single-bit SRs, corresponding to the number of the logical channel groups in LTE. </w:t>
      </w:r>
    </w:p>
    <w:p w14:paraId="5FB3BAA6" w14:textId="5602BC1C" w:rsidR="00CF2CE2" w:rsidRPr="00900C7D" w:rsidRDefault="00DF76D2" w:rsidP="00900C7D">
      <w:r>
        <w:t xml:space="preserve">Independently of </w:t>
      </w:r>
      <w:r w:rsidR="001A0640">
        <w:t>if</w:t>
      </w:r>
      <w:r>
        <w:t xml:space="preserve"> </w:t>
      </w:r>
      <w:r w:rsidRPr="00DF76D2">
        <w:t xml:space="preserve">RAN1 concludes multi-bit SR is </w:t>
      </w:r>
      <w:r w:rsidR="001A0640">
        <w:t>feasible</w:t>
      </w:r>
      <w:r>
        <w:t>, RAN2 should be able to conclude on configurable SR resources tied to the LCH to numerology/TTI.</w:t>
      </w:r>
    </w:p>
    <w:p w14:paraId="51C54540" w14:textId="75E12621" w:rsidR="00901618" w:rsidRDefault="00DF76D2" w:rsidP="00474FCF">
      <w:pPr>
        <w:pStyle w:val="Proposal"/>
      </w:pPr>
      <w:bookmarkStart w:id="49" w:name="_Toc481700718"/>
      <w:bookmarkStart w:id="50" w:name="_Toc481590453"/>
      <w:bookmarkStart w:id="51" w:name="_Toc481656943"/>
      <w:bookmarkStart w:id="52" w:name="_Toc481659058"/>
      <w:bookmarkStart w:id="53" w:name="_Toc481700719"/>
      <w:bookmarkStart w:id="54" w:name="_Toc481753977"/>
      <w:bookmarkStart w:id="55" w:name="_Toc481836842"/>
      <w:bookmarkEnd w:id="49"/>
      <w:r>
        <w:t>T</w:t>
      </w:r>
      <w:r w:rsidR="00056978">
        <w:t xml:space="preserve">he </w:t>
      </w:r>
      <w:r w:rsidR="00901618">
        <w:t>network can configure a UE with multiple SR configurations to distinguish the “numerology/TTI type” for each LCH/LCG</w:t>
      </w:r>
      <w:bookmarkEnd w:id="50"/>
      <w:bookmarkEnd w:id="51"/>
      <w:bookmarkEnd w:id="52"/>
      <w:bookmarkEnd w:id="53"/>
      <w:r w:rsidR="0008507C">
        <w:t>.</w:t>
      </w:r>
      <w:bookmarkEnd w:id="54"/>
      <w:bookmarkEnd w:id="55"/>
    </w:p>
    <w:p w14:paraId="17BA187D" w14:textId="094D562F" w:rsidR="00CD5D21" w:rsidRDefault="00C83252" w:rsidP="00474FCF">
      <w:bookmarkStart w:id="56" w:name="_Toc481590344"/>
      <w:bookmarkStart w:id="57" w:name="_Toc480806234"/>
      <w:bookmarkEnd w:id="56"/>
      <w:r>
        <w:t xml:space="preserve">When a </w:t>
      </w:r>
      <w:r w:rsidR="00CD5D21">
        <w:t xml:space="preserve">SR is triggered by certain LCH/LCG, </w:t>
      </w:r>
      <w:r>
        <w:t xml:space="preserve">the UE </w:t>
      </w:r>
      <w:r w:rsidR="00CD5D21">
        <w:t>uses the SR configuration associated with that LCH/LCG.</w:t>
      </w:r>
      <w:r w:rsidR="002905C2">
        <w:t xml:space="preserve"> </w:t>
      </w:r>
      <w:r w:rsidR="00CD5D21">
        <w:t xml:space="preserve"> </w:t>
      </w:r>
    </w:p>
    <w:p w14:paraId="1EF24D55" w14:textId="0E2301C7" w:rsidR="00CD5D21" w:rsidRDefault="00CD5D21" w:rsidP="00CD5D21">
      <w:pPr>
        <w:pStyle w:val="Proposal"/>
      </w:pPr>
      <w:bookmarkStart w:id="58" w:name="_Toc481590347"/>
      <w:bookmarkStart w:id="59" w:name="_Toc481590454"/>
      <w:bookmarkStart w:id="60" w:name="_Toc481656944"/>
      <w:bookmarkStart w:id="61" w:name="_Toc481659059"/>
      <w:bookmarkStart w:id="62" w:name="_Toc481700720"/>
      <w:bookmarkStart w:id="63" w:name="_Toc481753978"/>
      <w:bookmarkStart w:id="64" w:name="_Toc481836843"/>
      <w:r>
        <w:t>The UE uses</w:t>
      </w:r>
      <w:r w:rsidR="00A31FB4">
        <w:t xml:space="preserve"> the SR configuration associated with the LCH/LCG that triggers the SR</w:t>
      </w:r>
      <w:bookmarkEnd w:id="58"/>
      <w:bookmarkEnd w:id="59"/>
      <w:bookmarkEnd w:id="60"/>
      <w:bookmarkEnd w:id="61"/>
      <w:r w:rsidR="0008507C">
        <w:t>.</w:t>
      </w:r>
      <w:bookmarkEnd w:id="62"/>
      <w:bookmarkEnd w:id="63"/>
      <w:bookmarkEnd w:id="64"/>
    </w:p>
    <w:p w14:paraId="75A0DB04" w14:textId="4D820AAE" w:rsidR="00D12757" w:rsidRPr="00B67ECD" w:rsidRDefault="000E3A75" w:rsidP="00474FCF">
      <w:r>
        <w:t>As a correspondence of the distinguish of the “numerology/TTI type”, the grant should also indicate the “numerology/TTI type”.</w:t>
      </w:r>
      <w:r w:rsidR="00317E1A" w:rsidRPr="00317E1A">
        <w:t xml:space="preserve"> </w:t>
      </w:r>
      <w:r w:rsidR="00317E1A">
        <w:t>More detailed discussions on the grant indication are available in another contribution [1].</w:t>
      </w:r>
    </w:p>
    <w:p w14:paraId="255435A2" w14:textId="37772DB6" w:rsidR="00486858" w:rsidRPr="00287841" w:rsidRDefault="00415830" w:rsidP="00FE171C">
      <w:pPr>
        <w:pStyle w:val="Proposal"/>
      </w:pPr>
      <w:bookmarkStart w:id="65" w:name="_Toc481590348"/>
      <w:bookmarkStart w:id="66" w:name="_Toc481590455"/>
      <w:bookmarkStart w:id="67" w:name="_Toc481656945"/>
      <w:bookmarkStart w:id="68" w:name="_Toc481659060"/>
      <w:bookmarkStart w:id="69" w:name="_Toc481700721"/>
      <w:bookmarkStart w:id="70" w:name="_Toc481753979"/>
      <w:bookmarkStart w:id="71" w:name="_Toc481836844"/>
      <w:r>
        <w:t>Assume a grant carries the information of the “numerology/TTI type”</w:t>
      </w:r>
      <w:bookmarkEnd w:id="57"/>
      <w:bookmarkEnd w:id="65"/>
      <w:bookmarkEnd w:id="66"/>
      <w:bookmarkEnd w:id="67"/>
      <w:bookmarkEnd w:id="68"/>
      <w:bookmarkEnd w:id="69"/>
      <w:bookmarkEnd w:id="70"/>
      <w:bookmarkEnd w:id="71"/>
    </w:p>
    <w:p w14:paraId="6C367065" w14:textId="77777777" w:rsidR="00397657" w:rsidRDefault="00397657" w:rsidP="00397657">
      <w:pPr>
        <w:pStyle w:val="Heading1"/>
        <w:numPr>
          <w:ilvl w:val="0"/>
          <w:numId w:val="16"/>
        </w:numPr>
        <w:textAlignment w:val="auto"/>
      </w:pPr>
      <w:bookmarkStart w:id="72" w:name="_Toc477729381"/>
      <w:bookmarkStart w:id="73" w:name="_Toc477729382"/>
      <w:bookmarkEnd w:id="72"/>
      <w:bookmarkEnd w:id="73"/>
      <w:r>
        <w:t>Conclusion</w:t>
      </w:r>
    </w:p>
    <w:p w14:paraId="2BBFA80B" w14:textId="7EB40844" w:rsidR="00E05483" w:rsidRDefault="00E05483" w:rsidP="00E05483">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726AB4">
        <w:t>2</w:t>
      </w:r>
      <w:r>
        <w:rPr>
          <w:highlight w:val="cyan"/>
        </w:rPr>
        <w:fldChar w:fldCharType="end"/>
      </w:r>
      <w:r>
        <w:t xml:space="preserve"> we made the following observations:</w:t>
      </w:r>
    </w:p>
    <w:p w14:paraId="64A743BE" w14:textId="77777777" w:rsidR="006E3432" w:rsidRDefault="00E05483">
      <w:pPr>
        <w:pStyle w:val="TOC1"/>
        <w:rPr>
          <w:rFonts w:asciiTheme="minorHAnsi" w:eastAsiaTheme="minorEastAsia" w:hAnsiTheme="minorHAnsi" w:cstheme="minorBidi"/>
          <w:b w:val="0"/>
          <w:sz w:val="24"/>
          <w:szCs w:val="24"/>
          <w:lang w:val="en-GB" w:eastAsia="ja-JP"/>
        </w:rPr>
      </w:pPr>
      <w:r>
        <w:rPr>
          <w:b w:val="0"/>
          <w:bCs/>
        </w:rPr>
        <w:fldChar w:fldCharType="begin"/>
      </w:r>
      <w:r>
        <w:rPr>
          <w:b w:val="0"/>
          <w:bCs/>
        </w:rPr>
        <w:instrText xml:space="preserve"> TOC \f \n \t "Observation;1" </w:instrText>
      </w:r>
      <w:r>
        <w:rPr>
          <w:b w:val="0"/>
          <w:bCs/>
        </w:rPr>
        <w:fldChar w:fldCharType="separate"/>
      </w:r>
      <w:bookmarkStart w:id="74" w:name="_GoBack"/>
      <w:bookmarkEnd w:id="74"/>
      <w:r w:rsidR="006E3432">
        <w:t>Observation 1</w:t>
      </w:r>
      <w:r w:rsidR="006E3432">
        <w:rPr>
          <w:rFonts w:asciiTheme="minorHAnsi" w:eastAsiaTheme="minorEastAsia" w:hAnsiTheme="minorHAnsi" w:cstheme="minorBidi"/>
          <w:b w:val="0"/>
          <w:sz w:val="24"/>
          <w:szCs w:val="24"/>
          <w:lang w:val="en-GB" w:eastAsia="ja-JP"/>
        </w:rPr>
        <w:tab/>
      </w:r>
      <w:r w:rsidR="006E3432">
        <w:t>More efficient priority handling is achievable by more detailed information provided for SR.</w:t>
      </w:r>
    </w:p>
    <w:p w14:paraId="7FDEACB5" w14:textId="77777777" w:rsidR="006E3432" w:rsidRDefault="006E3432">
      <w:pPr>
        <w:pStyle w:val="TOC1"/>
        <w:rPr>
          <w:rFonts w:asciiTheme="minorHAnsi" w:eastAsiaTheme="minorEastAsia" w:hAnsiTheme="minorHAnsi" w:cstheme="minorBidi"/>
          <w:b w:val="0"/>
          <w:sz w:val="24"/>
          <w:szCs w:val="24"/>
          <w:lang w:val="en-GB" w:eastAsia="ja-JP"/>
        </w:rPr>
      </w:pPr>
      <w:r>
        <w:t>Observation 2</w:t>
      </w:r>
      <w:r>
        <w:rPr>
          <w:rFonts w:asciiTheme="minorHAnsi" w:eastAsiaTheme="minorEastAsia" w:hAnsiTheme="minorHAnsi" w:cstheme="minorBidi"/>
          <w:b w:val="0"/>
          <w:sz w:val="24"/>
          <w:szCs w:val="24"/>
          <w:lang w:val="en-GB" w:eastAsia="ja-JP"/>
        </w:rPr>
        <w:tab/>
      </w:r>
      <w:r>
        <w:t>To limit the overhead due to multiple SR resources configured for SR, it may be sufficient to differentiate SRs for LCHs/LCGs with higher priority levels.</w:t>
      </w:r>
    </w:p>
    <w:p w14:paraId="44031ADB" w14:textId="711C0623" w:rsidR="00E05483" w:rsidRDefault="00E05483" w:rsidP="00E05483">
      <w:pPr>
        <w:pStyle w:val="BodyText"/>
        <w:rPr>
          <w:b/>
          <w:bCs/>
        </w:rPr>
      </w:pPr>
      <w:r>
        <w:rPr>
          <w:b/>
          <w:bCs/>
        </w:rPr>
        <w:fldChar w:fldCharType="end"/>
      </w:r>
    </w:p>
    <w:p w14:paraId="462A0F76" w14:textId="1737B8A8" w:rsidR="00E05483" w:rsidRDefault="00E05483" w:rsidP="00E05483">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EA09CF">
        <w:t>2</w:t>
      </w:r>
      <w:r>
        <w:rPr>
          <w:highlight w:val="cyan"/>
        </w:rPr>
        <w:fldChar w:fldCharType="end"/>
      </w:r>
      <w:r>
        <w:t xml:space="preserve"> we propose the following:</w:t>
      </w:r>
    </w:p>
    <w:p w14:paraId="29547CAF" w14:textId="77777777" w:rsidR="002A4043" w:rsidRDefault="00E05483">
      <w:pPr>
        <w:pStyle w:val="TOC1"/>
        <w:rPr>
          <w:rFonts w:asciiTheme="minorHAnsi" w:eastAsiaTheme="minorEastAsia" w:hAnsiTheme="minorHAnsi" w:cstheme="minorBidi"/>
          <w:b w:val="0"/>
          <w:sz w:val="24"/>
          <w:szCs w:val="24"/>
          <w:lang w:val="en-GB" w:eastAsia="ja-JP"/>
        </w:rPr>
      </w:pPr>
      <w:r>
        <w:rPr>
          <w:b w:val="0"/>
          <w:bCs/>
        </w:rPr>
        <w:fldChar w:fldCharType="begin"/>
      </w:r>
      <w:r>
        <w:rPr>
          <w:b w:val="0"/>
          <w:bCs/>
        </w:rPr>
        <w:instrText xml:space="preserve"> TOC \f \n \p " " \t "Proposal;1" </w:instrText>
      </w:r>
      <w:r>
        <w:rPr>
          <w:b w:val="0"/>
          <w:bCs/>
        </w:rPr>
        <w:fldChar w:fldCharType="separate"/>
      </w:r>
      <w:r w:rsidR="002A4043">
        <w:t>Proposal 1</w:t>
      </w:r>
      <w:r w:rsidR="002A4043">
        <w:rPr>
          <w:rFonts w:asciiTheme="minorHAnsi" w:eastAsiaTheme="minorEastAsia" w:hAnsiTheme="minorHAnsi" w:cstheme="minorBidi"/>
          <w:b w:val="0"/>
          <w:sz w:val="24"/>
          <w:szCs w:val="24"/>
          <w:lang w:val="en-GB" w:eastAsia="ja-JP"/>
        </w:rPr>
        <w:tab/>
      </w:r>
      <w:r w:rsidR="002A4043">
        <w:t>RAN2 should focus on single-bit SR with multiple SR configurations while leaving multi-bit SR discussion up to RAN1 progress.</w:t>
      </w:r>
    </w:p>
    <w:p w14:paraId="29401DFE" w14:textId="77777777" w:rsidR="002A4043" w:rsidRDefault="002A4043">
      <w:pPr>
        <w:pStyle w:val="TOC1"/>
        <w:rPr>
          <w:rFonts w:asciiTheme="minorHAnsi" w:eastAsiaTheme="minorEastAsia" w:hAnsiTheme="minorHAnsi" w:cstheme="minorBidi"/>
          <w:b w:val="0"/>
          <w:sz w:val="24"/>
          <w:szCs w:val="24"/>
          <w:lang w:val="en-GB" w:eastAsia="ja-JP"/>
        </w:rPr>
      </w:pPr>
      <w:r>
        <w:t>Proposal 2</w:t>
      </w:r>
      <w:r>
        <w:rPr>
          <w:rFonts w:asciiTheme="minorHAnsi" w:eastAsiaTheme="minorEastAsia" w:hAnsiTheme="minorHAnsi" w:cstheme="minorBidi"/>
          <w:b w:val="0"/>
          <w:sz w:val="24"/>
          <w:szCs w:val="24"/>
          <w:lang w:val="en-GB" w:eastAsia="ja-JP"/>
        </w:rPr>
        <w:tab/>
      </w:r>
      <w:r>
        <w:t>The network can configure a UE with multiple SR configurations to distinguish the “numerology/TTI type” for each LCH/LCG.</w:t>
      </w:r>
    </w:p>
    <w:p w14:paraId="1BCB59A4" w14:textId="77777777" w:rsidR="002A4043" w:rsidRDefault="002A4043">
      <w:pPr>
        <w:pStyle w:val="TOC1"/>
        <w:rPr>
          <w:rFonts w:asciiTheme="minorHAnsi" w:eastAsiaTheme="minorEastAsia" w:hAnsiTheme="minorHAnsi" w:cstheme="minorBidi"/>
          <w:b w:val="0"/>
          <w:sz w:val="24"/>
          <w:szCs w:val="24"/>
          <w:lang w:val="en-GB" w:eastAsia="ja-JP"/>
        </w:rPr>
      </w:pPr>
      <w:r>
        <w:t>Proposal 3</w:t>
      </w:r>
      <w:r>
        <w:rPr>
          <w:rFonts w:asciiTheme="minorHAnsi" w:eastAsiaTheme="minorEastAsia" w:hAnsiTheme="minorHAnsi" w:cstheme="minorBidi"/>
          <w:b w:val="0"/>
          <w:sz w:val="24"/>
          <w:szCs w:val="24"/>
          <w:lang w:val="en-GB" w:eastAsia="ja-JP"/>
        </w:rPr>
        <w:tab/>
      </w:r>
      <w:r>
        <w:t>The UE uses the SR configuration associated with the LCH/LCG that triggers the SR.</w:t>
      </w:r>
    </w:p>
    <w:p w14:paraId="633A9D2D" w14:textId="77777777" w:rsidR="002A4043" w:rsidRDefault="002A4043">
      <w:pPr>
        <w:pStyle w:val="TOC1"/>
        <w:rPr>
          <w:rFonts w:asciiTheme="minorHAnsi" w:eastAsiaTheme="minorEastAsia" w:hAnsiTheme="minorHAnsi" w:cstheme="minorBidi"/>
          <w:b w:val="0"/>
          <w:sz w:val="24"/>
          <w:szCs w:val="24"/>
          <w:lang w:val="en-GB" w:eastAsia="ja-JP"/>
        </w:rPr>
      </w:pPr>
      <w:r>
        <w:t>Proposal 4</w:t>
      </w:r>
      <w:r>
        <w:rPr>
          <w:rFonts w:asciiTheme="minorHAnsi" w:eastAsiaTheme="minorEastAsia" w:hAnsiTheme="minorHAnsi" w:cstheme="minorBidi"/>
          <w:b w:val="0"/>
          <w:sz w:val="24"/>
          <w:szCs w:val="24"/>
          <w:lang w:val="en-GB" w:eastAsia="ja-JP"/>
        </w:rPr>
        <w:tab/>
      </w:r>
      <w:r>
        <w:t>Assume a grant carries the information of the “numerology/TTI type”</w:t>
      </w:r>
    </w:p>
    <w:p w14:paraId="764C5B2C" w14:textId="04CE0AA2" w:rsidR="00E05483" w:rsidRDefault="00E05483" w:rsidP="00E05483">
      <w:r>
        <w:rPr>
          <w:b/>
          <w:bCs/>
        </w:rPr>
        <w:fldChar w:fldCharType="end"/>
      </w:r>
    </w:p>
    <w:p w14:paraId="6A52AF0D" w14:textId="77777777" w:rsidR="00E05483" w:rsidRDefault="00E05483" w:rsidP="00E05483">
      <w:pPr>
        <w:pStyle w:val="Heading1"/>
        <w:numPr>
          <w:ilvl w:val="0"/>
          <w:numId w:val="16"/>
        </w:numPr>
        <w:textAlignment w:val="auto"/>
      </w:pPr>
      <w:bookmarkStart w:id="75" w:name="_In-sequence_SDU_delivery"/>
      <w:bookmarkEnd w:id="75"/>
      <w:r>
        <w:lastRenderedPageBreak/>
        <w:t>References</w:t>
      </w:r>
    </w:p>
    <w:p w14:paraId="628FE364" w14:textId="77777777" w:rsidR="00317E1A" w:rsidRPr="00CE0424" w:rsidRDefault="00317E1A" w:rsidP="00317E1A">
      <w:pPr>
        <w:pStyle w:val="Reference"/>
      </w:pPr>
      <w:r w:rsidRPr="00BB57E7">
        <w:t>R2-1704397</w:t>
      </w:r>
      <w:r>
        <w:t xml:space="preserve">, </w:t>
      </w:r>
      <w:r w:rsidRPr="00BB57E7">
        <w:t>Logical channel prioritisation and multiple numerologies</w:t>
      </w:r>
      <w:r>
        <w:t>, Ericsson</w:t>
      </w:r>
    </w:p>
    <w:p w14:paraId="6344E4D4" w14:textId="77777777" w:rsidR="00155372" w:rsidRPr="00155372" w:rsidRDefault="00155372" w:rsidP="00155372"/>
    <w:sectPr w:rsidR="00155372" w:rsidRPr="00155372">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7200E" w14:textId="77777777" w:rsidR="00A1337A" w:rsidRDefault="00A1337A">
      <w:r>
        <w:separator/>
      </w:r>
    </w:p>
  </w:endnote>
  <w:endnote w:type="continuationSeparator" w:id="0">
    <w:p w14:paraId="6D0B1615" w14:textId="77777777" w:rsidR="00A1337A" w:rsidRDefault="00A1337A">
      <w:r>
        <w:continuationSeparator/>
      </w:r>
    </w:p>
  </w:endnote>
  <w:endnote w:type="continuationNotice" w:id="1">
    <w:p w14:paraId="0D15AD25" w14:textId="77777777" w:rsidR="00A1337A" w:rsidRDefault="00A13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695B294D" w:rsidR="000C0F0F" w:rsidRDefault="000C0F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34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343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2FA9E" w14:textId="77777777" w:rsidR="00A1337A" w:rsidRDefault="00A1337A">
      <w:r>
        <w:separator/>
      </w:r>
    </w:p>
  </w:footnote>
  <w:footnote w:type="continuationSeparator" w:id="0">
    <w:p w14:paraId="0C91D7A8" w14:textId="77777777" w:rsidR="00A1337A" w:rsidRDefault="00A1337A">
      <w:r>
        <w:continuationSeparator/>
      </w:r>
    </w:p>
  </w:footnote>
  <w:footnote w:type="continuationNotice" w:id="1">
    <w:p w14:paraId="0934895A" w14:textId="77777777" w:rsidR="00A1337A" w:rsidRDefault="00A1337A">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0C0F0F" w:rsidRDefault="000C0F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0C0F0F" w:rsidRDefault="000C0F0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01447C"/>
    <w:multiLevelType w:val="hybridMultilevel"/>
    <w:tmpl w:val="EFDC8F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6">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9">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2">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F1124F4"/>
    <w:multiLevelType w:val="hybridMultilevel"/>
    <w:tmpl w:val="AF6EC3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5E843220"/>
    <w:multiLevelType w:val="hybridMultilevel"/>
    <w:tmpl w:val="B9DCC41A"/>
    <w:lvl w:ilvl="0" w:tplc="DFE4D8A8">
      <w:start w:val="1"/>
      <w:numFmt w:val="decimal"/>
      <w:lvlText w:val="%1)"/>
      <w:lvlJc w:val="left"/>
      <w:pPr>
        <w:ind w:left="720" w:hanging="360"/>
      </w:pPr>
      <w:rPr>
        <w:rFonts w:hint="default"/>
        <w:sz w:val="18"/>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22"/>
  </w:num>
  <w:num w:numId="3">
    <w:abstractNumId w:val="18"/>
  </w:num>
  <w:num w:numId="4">
    <w:abstractNumId w:val="19"/>
  </w:num>
  <w:num w:numId="5">
    <w:abstractNumId w:val="16"/>
  </w:num>
  <w:num w:numId="6">
    <w:abstractNumId w:val="21"/>
  </w:num>
  <w:num w:numId="7">
    <w:abstractNumId w:val="24"/>
  </w:num>
  <w:num w:numId="8">
    <w:abstractNumId w:val="17"/>
  </w:num>
  <w:num w:numId="9">
    <w:abstractNumId w:val="14"/>
  </w:num>
  <w:num w:numId="10">
    <w:abstractNumId w:val="3"/>
  </w:num>
  <w:num w:numId="11">
    <w:abstractNumId w:val="2"/>
  </w:num>
  <w:num w:numId="12">
    <w:abstractNumId w:val="1"/>
  </w:num>
  <w:num w:numId="13">
    <w:abstractNumId w:val="23"/>
  </w:num>
  <w:num w:numId="14">
    <w:abstractNumId w:val="18"/>
    <w:lvlOverride w:ilvl="0">
      <w:startOverride w:val="1"/>
    </w:lvlOverride>
  </w:num>
  <w:num w:numId="15">
    <w:abstractNumId w:val="23"/>
    <w:lvlOverride w:ilvl="0">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 w:numId="23">
    <w:abstractNumId w:val="28"/>
  </w:num>
  <w:num w:numId="24">
    <w:abstractNumId w:val="18"/>
  </w:num>
  <w:num w:numId="25">
    <w:abstractNumId w:val="11"/>
  </w:num>
  <w:num w:numId="26">
    <w:abstractNumId w:val="0"/>
  </w:num>
  <w:num w:numId="27">
    <w:abstractNumId w:val="5"/>
  </w:num>
  <w:num w:numId="28">
    <w:abstractNumId w:val="8"/>
  </w:num>
  <w:num w:numId="29">
    <w:abstractNumId w:val="25"/>
  </w:num>
  <w:num w:numId="30">
    <w:abstractNumId w:val="27"/>
  </w:num>
  <w:num w:numId="31">
    <w:abstractNumId w:val="4"/>
  </w:num>
  <w:num w:numId="32">
    <w:abstractNumId w:val="26"/>
  </w:num>
  <w:num w:numId="33">
    <w:abstractNumId w:val="20"/>
  </w:num>
  <w:num w:numId="34">
    <w:abstractNumId w:val="9"/>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DC3"/>
    <w:rsid w:val="00002060"/>
    <w:rsid w:val="00002A37"/>
    <w:rsid w:val="00003A0B"/>
    <w:rsid w:val="00006446"/>
    <w:rsid w:val="00006896"/>
    <w:rsid w:val="00006E95"/>
    <w:rsid w:val="00007689"/>
    <w:rsid w:val="00007CDC"/>
    <w:rsid w:val="00010564"/>
    <w:rsid w:val="00011B28"/>
    <w:rsid w:val="00014C57"/>
    <w:rsid w:val="00015D15"/>
    <w:rsid w:val="0002564D"/>
    <w:rsid w:val="0002570C"/>
    <w:rsid w:val="00025B5B"/>
    <w:rsid w:val="00025ECA"/>
    <w:rsid w:val="00027939"/>
    <w:rsid w:val="0003010F"/>
    <w:rsid w:val="000325B8"/>
    <w:rsid w:val="00034C15"/>
    <w:rsid w:val="00036151"/>
    <w:rsid w:val="00036BA1"/>
    <w:rsid w:val="00041EDA"/>
    <w:rsid w:val="000422E2"/>
    <w:rsid w:val="00042F22"/>
    <w:rsid w:val="00043D89"/>
    <w:rsid w:val="000444EF"/>
    <w:rsid w:val="00051275"/>
    <w:rsid w:val="00052A07"/>
    <w:rsid w:val="000534E3"/>
    <w:rsid w:val="00054FFD"/>
    <w:rsid w:val="0005606A"/>
    <w:rsid w:val="000561F2"/>
    <w:rsid w:val="00056978"/>
    <w:rsid w:val="00057117"/>
    <w:rsid w:val="000616E7"/>
    <w:rsid w:val="0006487E"/>
    <w:rsid w:val="00064E8A"/>
    <w:rsid w:val="00065E1A"/>
    <w:rsid w:val="000754C3"/>
    <w:rsid w:val="00075EF0"/>
    <w:rsid w:val="0007673D"/>
    <w:rsid w:val="00077E5F"/>
    <w:rsid w:val="0008036A"/>
    <w:rsid w:val="00081535"/>
    <w:rsid w:val="00081AE6"/>
    <w:rsid w:val="00081F40"/>
    <w:rsid w:val="0008507C"/>
    <w:rsid w:val="00085167"/>
    <w:rsid w:val="000855EB"/>
    <w:rsid w:val="00085B52"/>
    <w:rsid w:val="000866F2"/>
    <w:rsid w:val="00086E2D"/>
    <w:rsid w:val="0009009F"/>
    <w:rsid w:val="00091557"/>
    <w:rsid w:val="000924C1"/>
    <w:rsid w:val="000924F0"/>
    <w:rsid w:val="00093474"/>
    <w:rsid w:val="0009510F"/>
    <w:rsid w:val="00095C31"/>
    <w:rsid w:val="000A0FB9"/>
    <w:rsid w:val="000A1B7B"/>
    <w:rsid w:val="000A56F2"/>
    <w:rsid w:val="000A60EC"/>
    <w:rsid w:val="000A7644"/>
    <w:rsid w:val="000B2719"/>
    <w:rsid w:val="000B3A8F"/>
    <w:rsid w:val="000B4AB9"/>
    <w:rsid w:val="000B58C3"/>
    <w:rsid w:val="000B61E9"/>
    <w:rsid w:val="000B754D"/>
    <w:rsid w:val="000C06F5"/>
    <w:rsid w:val="000C0F0F"/>
    <w:rsid w:val="000C165A"/>
    <w:rsid w:val="000C2E19"/>
    <w:rsid w:val="000C506D"/>
    <w:rsid w:val="000D0B28"/>
    <w:rsid w:val="000D0D07"/>
    <w:rsid w:val="000D4797"/>
    <w:rsid w:val="000D58B3"/>
    <w:rsid w:val="000D6361"/>
    <w:rsid w:val="000D794C"/>
    <w:rsid w:val="000E0527"/>
    <w:rsid w:val="000E1E92"/>
    <w:rsid w:val="000E3A75"/>
    <w:rsid w:val="000E3C8C"/>
    <w:rsid w:val="000E5810"/>
    <w:rsid w:val="000F06D6"/>
    <w:rsid w:val="000F0EB1"/>
    <w:rsid w:val="000F1106"/>
    <w:rsid w:val="000F3809"/>
    <w:rsid w:val="000F3BE9"/>
    <w:rsid w:val="000F3F6C"/>
    <w:rsid w:val="000F6DF3"/>
    <w:rsid w:val="001005FF"/>
    <w:rsid w:val="00105494"/>
    <w:rsid w:val="001062FB"/>
    <w:rsid w:val="001063E6"/>
    <w:rsid w:val="0010701F"/>
    <w:rsid w:val="00112F08"/>
    <w:rsid w:val="00113CF4"/>
    <w:rsid w:val="001153EA"/>
    <w:rsid w:val="00115643"/>
    <w:rsid w:val="001156E4"/>
    <w:rsid w:val="00116765"/>
    <w:rsid w:val="00120A07"/>
    <w:rsid w:val="001219F5"/>
    <w:rsid w:val="00121A20"/>
    <w:rsid w:val="00122F2E"/>
    <w:rsid w:val="0012345A"/>
    <w:rsid w:val="0012377F"/>
    <w:rsid w:val="00124314"/>
    <w:rsid w:val="001245D7"/>
    <w:rsid w:val="00126B4A"/>
    <w:rsid w:val="00130C81"/>
    <w:rsid w:val="00132407"/>
    <w:rsid w:val="00132FD0"/>
    <w:rsid w:val="001344C0"/>
    <w:rsid w:val="001346FA"/>
    <w:rsid w:val="00135252"/>
    <w:rsid w:val="00137AB5"/>
    <w:rsid w:val="00137DE3"/>
    <w:rsid w:val="00137F0B"/>
    <w:rsid w:val="0014066E"/>
    <w:rsid w:val="00140DC8"/>
    <w:rsid w:val="00141725"/>
    <w:rsid w:val="0014529F"/>
    <w:rsid w:val="00146A94"/>
    <w:rsid w:val="0015122F"/>
    <w:rsid w:val="00151E23"/>
    <w:rsid w:val="001526E0"/>
    <w:rsid w:val="00152C08"/>
    <w:rsid w:val="001551B5"/>
    <w:rsid w:val="00155372"/>
    <w:rsid w:val="00155388"/>
    <w:rsid w:val="0015541E"/>
    <w:rsid w:val="00157BAC"/>
    <w:rsid w:val="00157D5F"/>
    <w:rsid w:val="0016398D"/>
    <w:rsid w:val="001643A8"/>
    <w:rsid w:val="001659C1"/>
    <w:rsid w:val="001660C7"/>
    <w:rsid w:val="001679B1"/>
    <w:rsid w:val="00173A8E"/>
    <w:rsid w:val="00173EDE"/>
    <w:rsid w:val="00174042"/>
    <w:rsid w:val="001746BF"/>
    <w:rsid w:val="00176426"/>
    <w:rsid w:val="00176B13"/>
    <w:rsid w:val="00176D1C"/>
    <w:rsid w:val="0017760E"/>
    <w:rsid w:val="00177795"/>
    <w:rsid w:val="0018143F"/>
    <w:rsid w:val="001861C1"/>
    <w:rsid w:val="00187036"/>
    <w:rsid w:val="00190AC1"/>
    <w:rsid w:val="00191735"/>
    <w:rsid w:val="00192F15"/>
    <w:rsid w:val="0019341A"/>
    <w:rsid w:val="00194C77"/>
    <w:rsid w:val="00195E66"/>
    <w:rsid w:val="00197DF9"/>
    <w:rsid w:val="001A0640"/>
    <w:rsid w:val="001A1987"/>
    <w:rsid w:val="001A2564"/>
    <w:rsid w:val="001A27F3"/>
    <w:rsid w:val="001A3123"/>
    <w:rsid w:val="001A3EA6"/>
    <w:rsid w:val="001A40B4"/>
    <w:rsid w:val="001A56E6"/>
    <w:rsid w:val="001A6173"/>
    <w:rsid w:val="001A6CBA"/>
    <w:rsid w:val="001B0D97"/>
    <w:rsid w:val="001B3084"/>
    <w:rsid w:val="001B331B"/>
    <w:rsid w:val="001B5A5D"/>
    <w:rsid w:val="001B7D06"/>
    <w:rsid w:val="001C04CE"/>
    <w:rsid w:val="001C1CE5"/>
    <w:rsid w:val="001C3D2A"/>
    <w:rsid w:val="001C4D9C"/>
    <w:rsid w:val="001C51ED"/>
    <w:rsid w:val="001C571F"/>
    <w:rsid w:val="001C6335"/>
    <w:rsid w:val="001C6495"/>
    <w:rsid w:val="001D0D23"/>
    <w:rsid w:val="001D1857"/>
    <w:rsid w:val="001D19EA"/>
    <w:rsid w:val="001D51BA"/>
    <w:rsid w:val="001D6342"/>
    <w:rsid w:val="001D6D53"/>
    <w:rsid w:val="001D6E57"/>
    <w:rsid w:val="001D7474"/>
    <w:rsid w:val="001D7E95"/>
    <w:rsid w:val="001E2531"/>
    <w:rsid w:val="001E4A2C"/>
    <w:rsid w:val="001E5394"/>
    <w:rsid w:val="001E58E2"/>
    <w:rsid w:val="001E6A85"/>
    <w:rsid w:val="001E7AED"/>
    <w:rsid w:val="001F0342"/>
    <w:rsid w:val="001F1942"/>
    <w:rsid w:val="001F3885"/>
    <w:rsid w:val="001F3916"/>
    <w:rsid w:val="001F3C26"/>
    <w:rsid w:val="001F54C5"/>
    <w:rsid w:val="001F5A00"/>
    <w:rsid w:val="001F662C"/>
    <w:rsid w:val="001F7074"/>
    <w:rsid w:val="00200490"/>
    <w:rsid w:val="00201F3A"/>
    <w:rsid w:val="00202D41"/>
    <w:rsid w:val="00203F96"/>
    <w:rsid w:val="00205B70"/>
    <w:rsid w:val="002069B2"/>
    <w:rsid w:val="00207FA3"/>
    <w:rsid w:val="002103D0"/>
    <w:rsid w:val="002111A5"/>
    <w:rsid w:val="00212181"/>
    <w:rsid w:val="00212BE8"/>
    <w:rsid w:val="00212C2F"/>
    <w:rsid w:val="00214DA8"/>
    <w:rsid w:val="00215423"/>
    <w:rsid w:val="002158FA"/>
    <w:rsid w:val="00216E91"/>
    <w:rsid w:val="00220600"/>
    <w:rsid w:val="002224DB"/>
    <w:rsid w:val="002226D5"/>
    <w:rsid w:val="00223F2C"/>
    <w:rsid w:val="00223FCB"/>
    <w:rsid w:val="00224567"/>
    <w:rsid w:val="00224FAD"/>
    <w:rsid w:val="002252C3"/>
    <w:rsid w:val="00225C54"/>
    <w:rsid w:val="00226DCC"/>
    <w:rsid w:val="00230765"/>
    <w:rsid w:val="002319E4"/>
    <w:rsid w:val="0023334C"/>
    <w:rsid w:val="00235632"/>
    <w:rsid w:val="00235872"/>
    <w:rsid w:val="0023594F"/>
    <w:rsid w:val="00237D99"/>
    <w:rsid w:val="00241559"/>
    <w:rsid w:val="00242028"/>
    <w:rsid w:val="0024275B"/>
    <w:rsid w:val="002435B3"/>
    <w:rsid w:val="002458EB"/>
    <w:rsid w:val="00246641"/>
    <w:rsid w:val="00247FC0"/>
    <w:rsid w:val="002500C8"/>
    <w:rsid w:val="0025234C"/>
    <w:rsid w:val="00257543"/>
    <w:rsid w:val="002602AE"/>
    <w:rsid w:val="002617E7"/>
    <w:rsid w:val="00261FC8"/>
    <w:rsid w:val="002632EA"/>
    <w:rsid w:val="00264228"/>
    <w:rsid w:val="00264334"/>
    <w:rsid w:val="0026473E"/>
    <w:rsid w:val="00265531"/>
    <w:rsid w:val="00265DA4"/>
    <w:rsid w:val="00266214"/>
    <w:rsid w:val="00267C83"/>
    <w:rsid w:val="00267DA5"/>
    <w:rsid w:val="002705DA"/>
    <w:rsid w:val="00271131"/>
    <w:rsid w:val="0027144F"/>
    <w:rsid w:val="00271F3A"/>
    <w:rsid w:val="00273278"/>
    <w:rsid w:val="002737F4"/>
    <w:rsid w:val="00275E6F"/>
    <w:rsid w:val="002766B9"/>
    <w:rsid w:val="002805F5"/>
    <w:rsid w:val="00280751"/>
    <w:rsid w:val="0028280A"/>
    <w:rsid w:val="0028381E"/>
    <w:rsid w:val="0028539B"/>
    <w:rsid w:val="00285419"/>
    <w:rsid w:val="00285E0E"/>
    <w:rsid w:val="0028660A"/>
    <w:rsid w:val="00286ACD"/>
    <w:rsid w:val="00287838"/>
    <w:rsid w:val="00287841"/>
    <w:rsid w:val="002905C2"/>
    <w:rsid w:val="002907B5"/>
    <w:rsid w:val="00290B96"/>
    <w:rsid w:val="00291CFD"/>
    <w:rsid w:val="00292EB7"/>
    <w:rsid w:val="00295776"/>
    <w:rsid w:val="00295F9B"/>
    <w:rsid w:val="00296227"/>
    <w:rsid w:val="00296F44"/>
    <w:rsid w:val="0029777D"/>
    <w:rsid w:val="002A055E"/>
    <w:rsid w:val="002A1D4E"/>
    <w:rsid w:val="002A2869"/>
    <w:rsid w:val="002A3399"/>
    <w:rsid w:val="002A3581"/>
    <w:rsid w:val="002A3D76"/>
    <w:rsid w:val="002A4043"/>
    <w:rsid w:val="002A4C1F"/>
    <w:rsid w:val="002B178D"/>
    <w:rsid w:val="002B24D6"/>
    <w:rsid w:val="002B2633"/>
    <w:rsid w:val="002B35F0"/>
    <w:rsid w:val="002B382E"/>
    <w:rsid w:val="002B3CD0"/>
    <w:rsid w:val="002B3F7D"/>
    <w:rsid w:val="002B7B02"/>
    <w:rsid w:val="002C41E6"/>
    <w:rsid w:val="002C51E9"/>
    <w:rsid w:val="002C5EC3"/>
    <w:rsid w:val="002C6631"/>
    <w:rsid w:val="002D071A"/>
    <w:rsid w:val="002D0C36"/>
    <w:rsid w:val="002D2BB1"/>
    <w:rsid w:val="002D34B2"/>
    <w:rsid w:val="002D7637"/>
    <w:rsid w:val="002E15D6"/>
    <w:rsid w:val="002E17F2"/>
    <w:rsid w:val="002E1C49"/>
    <w:rsid w:val="002E30D1"/>
    <w:rsid w:val="002E5701"/>
    <w:rsid w:val="002E7CAE"/>
    <w:rsid w:val="002F0045"/>
    <w:rsid w:val="002F26CC"/>
    <w:rsid w:val="002F2771"/>
    <w:rsid w:val="002F2B42"/>
    <w:rsid w:val="002F2F92"/>
    <w:rsid w:val="002F37A9"/>
    <w:rsid w:val="002F450C"/>
    <w:rsid w:val="002F7B0A"/>
    <w:rsid w:val="002F7B2C"/>
    <w:rsid w:val="00301CE6"/>
    <w:rsid w:val="0030256B"/>
    <w:rsid w:val="003039AB"/>
    <w:rsid w:val="0030501F"/>
    <w:rsid w:val="0030580F"/>
    <w:rsid w:val="003069E5"/>
    <w:rsid w:val="00307BA1"/>
    <w:rsid w:val="00307BA2"/>
    <w:rsid w:val="00311702"/>
    <w:rsid w:val="00311E82"/>
    <w:rsid w:val="00313FD6"/>
    <w:rsid w:val="003143BD"/>
    <w:rsid w:val="0031689F"/>
    <w:rsid w:val="00317E1A"/>
    <w:rsid w:val="003203ED"/>
    <w:rsid w:val="00322C9F"/>
    <w:rsid w:val="00322E6A"/>
    <w:rsid w:val="00324D23"/>
    <w:rsid w:val="00324FBA"/>
    <w:rsid w:val="00330D42"/>
    <w:rsid w:val="00331751"/>
    <w:rsid w:val="00334579"/>
    <w:rsid w:val="00335858"/>
    <w:rsid w:val="00336BDA"/>
    <w:rsid w:val="00342BD7"/>
    <w:rsid w:val="003434F8"/>
    <w:rsid w:val="00343A07"/>
    <w:rsid w:val="00344908"/>
    <w:rsid w:val="00346596"/>
    <w:rsid w:val="00346DB5"/>
    <w:rsid w:val="00346DEA"/>
    <w:rsid w:val="003477B1"/>
    <w:rsid w:val="00347E07"/>
    <w:rsid w:val="00350B22"/>
    <w:rsid w:val="00352521"/>
    <w:rsid w:val="003528AE"/>
    <w:rsid w:val="0035445E"/>
    <w:rsid w:val="0035482C"/>
    <w:rsid w:val="00357380"/>
    <w:rsid w:val="00357C19"/>
    <w:rsid w:val="003602D9"/>
    <w:rsid w:val="003604CE"/>
    <w:rsid w:val="003604D3"/>
    <w:rsid w:val="00360EF6"/>
    <w:rsid w:val="00360F70"/>
    <w:rsid w:val="003627DB"/>
    <w:rsid w:val="00362B08"/>
    <w:rsid w:val="0036397F"/>
    <w:rsid w:val="0036484B"/>
    <w:rsid w:val="00365C8E"/>
    <w:rsid w:val="00370E47"/>
    <w:rsid w:val="00372B38"/>
    <w:rsid w:val="003742AC"/>
    <w:rsid w:val="003770FA"/>
    <w:rsid w:val="00377CE1"/>
    <w:rsid w:val="003808EE"/>
    <w:rsid w:val="0038380E"/>
    <w:rsid w:val="00384B08"/>
    <w:rsid w:val="00385BF0"/>
    <w:rsid w:val="003871CC"/>
    <w:rsid w:val="00387728"/>
    <w:rsid w:val="003878B2"/>
    <w:rsid w:val="00390BDD"/>
    <w:rsid w:val="003939FF"/>
    <w:rsid w:val="00397657"/>
    <w:rsid w:val="00397661"/>
    <w:rsid w:val="003A110A"/>
    <w:rsid w:val="003A13F1"/>
    <w:rsid w:val="003A2223"/>
    <w:rsid w:val="003A24A0"/>
    <w:rsid w:val="003A2A0F"/>
    <w:rsid w:val="003A4095"/>
    <w:rsid w:val="003A45A1"/>
    <w:rsid w:val="003A5B0A"/>
    <w:rsid w:val="003A5B5B"/>
    <w:rsid w:val="003A6BAC"/>
    <w:rsid w:val="003A7D72"/>
    <w:rsid w:val="003A7EF3"/>
    <w:rsid w:val="003B159C"/>
    <w:rsid w:val="003B299D"/>
    <w:rsid w:val="003B369F"/>
    <w:rsid w:val="003B36A3"/>
    <w:rsid w:val="003B7C76"/>
    <w:rsid w:val="003B7FE5"/>
    <w:rsid w:val="003C11C8"/>
    <w:rsid w:val="003C1FB3"/>
    <w:rsid w:val="003C2702"/>
    <w:rsid w:val="003C52E6"/>
    <w:rsid w:val="003C7806"/>
    <w:rsid w:val="003D109F"/>
    <w:rsid w:val="003D212D"/>
    <w:rsid w:val="003D2478"/>
    <w:rsid w:val="003D2932"/>
    <w:rsid w:val="003D2FC4"/>
    <w:rsid w:val="003D2FDA"/>
    <w:rsid w:val="003D3481"/>
    <w:rsid w:val="003D396E"/>
    <w:rsid w:val="003D3C45"/>
    <w:rsid w:val="003D5B1F"/>
    <w:rsid w:val="003D67E8"/>
    <w:rsid w:val="003E0FB9"/>
    <w:rsid w:val="003E15FA"/>
    <w:rsid w:val="003E4DEB"/>
    <w:rsid w:val="003E55E4"/>
    <w:rsid w:val="003E57AD"/>
    <w:rsid w:val="003E6C23"/>
    <w:rsid w:val="003E74E3"/>
    <w:rsid w:val="003F05C7"/>
    <w:rsid w:val="003F2286"/>
    <w:rsid w:val="003F2CD4"/>
    <w:rsid w:val="003F6BBE"/>
    <w:rsid w:val="004000E8"/>
    <w:rsid w:val="00402E2B"/>
    <w:rsid w:val="00403EC1"/>
    <w:rsid w:val="00403F7D"/>
    <w:rsid w:val="0040512B"/>
    <w:rsid w:val="00405CA5"/>
    <w:rsid w:val="00405E6B"/>
    <w:rsid w:val="00406A28"/>
    <w:rsid w:val="00407CD3"/>
    <w:rsid w:val="00410134"/>
    <w:rsid w:val="00410B72"/>
    <w:rsid w:val="00410F18"/>
    <w:rsid w:val="0041263E"/>
    <w:rsid w:val="00413317"/>
    <w:rsid w:val="004133D5"/>
    <w:rsid w:val="00413A50"/>
    <w:rsid w:val="00413AAC"/>
    <w:rsid w:val="00413BD8"/>
    <w:rsid w:val="00415830"/>
    <w:rsid w:val="00415B3C"/>
    <w:rsid w:val="00420086"/>
    <w:rsid w:val="00420341"/>
    <w:rsid w:val="00421105"/>
    <w:rsid w:val="00423467"/>
    <w:rsid w:val="004242F4"/>
    <w:rsid w:val="0042475D"/>
    <w:rsid w:val="00427248"/>
    <w:rsid w:val="00427D47"/>
    <w:rsid w:val="00431A37"/>
    <w:rsid w:val="00432071"/>
    <w:rsid w:val="00433EFD"/>
    <w:rsid w:val="00434D7B"/>
    <w:rsid w:val="00437447"/>
    <w:rsid w:val="00440485"/>
    <w:rsid w:val="00441A92"/>
    <w:rsid w:val="00441C73"/>
    <w:rsid w:val="00441F13"/>
    <w:rsid w:val="0044251D"/>
    <w:rsid w:val="00444F56"/>
    <w:rsid w:val="0044511D"/>
    <w:rsid w:val="00446488"/>
    <w:rsid w:val="004517AA"/>
    <w:rsid w:val="00452A55"/>
    <w:rsid w:val="00452CAC"/>
    <w:rsid w:val="004530AF"/>
    <w:rsid w:val="00453E88"/>
    <w:rsid w:val="00456D11"/>
    <w:rsid w:val="00456D36"/>
    <w:rsid w:val="00457565"/>
    <w:rsid w:val="00457B71"/>
    <w:rsid w:val="004618B1"/>
    <w:rsid w:val="00462DFC"/>
    <w:rsid w:val="0046322A"/>
    <w:rsid w:val="00465F3A"/>
    <w:rsid w:val="004669E2"/>
    <w:rsid w:val="00470C31"/>
    <w:rsid w:val="004734D0"/>
    <w:rsid w:val="0047482A"/>
    <w:rsid w:val="00474F6C"/>
    <w:rsid w:val="00474FCF"/>
    <w:rsid w:val="0047556B"/>
    <w:rsid w:val="00475892"/>
    <w:rsid w:val="00476CD0"/>
    <w:rsid w:val="00477768"/>
    <w:rsid w:val="00481187"/>
    <w:rsid w:val="004852AE"/>
    <w:rsid w:val="00486858"/>
    <w:rsid w:val="0049062D"/>
    <w:rsid w:val="00490871"/>
    <w:rsid w:val="00492BC5"/>
    <w:rsid w:val="004933F1"/>
    <w:rsid w:val="004948A6"/>
    <w:rsid w:val="004964F1"/>
    <w:rsid w:val="00497584"/>
    <w:rsid w:val="004A16BC"/>
    <w:rsid w:val="004A2B94"/>
    <w:rsid w:val="004A3D16"/>
    <w:rsid w:val="004B5D48"/>
    <w:rsid w:val="004B6410"/>
    <w:rsid w:val="004B766F"/>
    <w:rsid w:val="004B7C0C"/>
    <w:rsid w:val="004C2D91"/>
    <w:rsid w:val="004C33F3"/>
    <w:rsid w:val="004C3898"/>
    <w:rsid w:val="004C4031"/>
    <w:rsid w:val="004C698C"/>
    <w:rsid w:val="004D2E40"/>
    <w:rsid w:val="004D36B1"/>
    <w:rsid w:val="004D4EEA"/>
    <w:rsid w:val="004D5315"/>
    <w:rsid w:val="004D7EBD"/>
    <w:rsid w:val="004E1C15"/>
    <w:rsid w:val="004E2680"/>
    <w:rsid w:val="004E28F9"/>
    <w:rsid w:val="004E462E"/>
    <w:rsid w:val="004E56DC"/>
    <w:rsid w:val="004E572E"/>
    <w:rsid w:val="004E7262"/>
    <w:rsid w:val="004E76F4"/>
    <w:rsid w:val="004F059A"/>
    <w:rsid w:val="004F0A17"/>
    <w:rsid w:val="004F0B4E"/>
    <w:rsid w:val="004F0B6C"/>
    <w:rsid w:val="004F0E59"/>
    <w:rsid w:val="004F1324"/>
    <w:rsid w:val="004F2078"/>
    <w:rsid w:val="004F2C09"/>
    <w:rsid w:val="004F4DA3"/>
    <w:rsid w:val="004F7771"/>
    <w:rsid w:val="00503DF9"/>
    <w:rsid w:val="00504181"/>
    <w:rsid w:val="005043F8"/>
    <w:rsid w:val="005052AE"/>
    <w:rsid w:val="00506557"/>
    <w:rsid w:val="0050677A"/>
    <w:rsid w:val="00507BED"/>
    <w:rsid w:val="005108D8"/>
    <w:rsid w:val="005116F9"/>
    <w:rsid w:val="00511E6F"/>
    <w:rsid w:val="005153A7"/>
    <w:rsid w:val="0051615A"/>
    <w:rsid w:val="005219CF"/>
    <w:rsid w:val="00524BE4"/>
    <w:rsid w:val="005269A3"/>
    <w:rsid w:val="00527449"/>
    <w:rsid w:val="005313B4"/>
    <w:rsid w:val="00531AC7"/>
    <w:rsid w:val="00532B4B"/>
    <w:rsid w:val="00533622"/>
    <w:rsid w:val="00533A90"/>
    <w:rsid w:val="00534B59"/>
    <w:rsid w:val="00535770"/>
    <w:rsid w:val="00535F27"/>
    <w:rsid w:val="005364E3"/>
    <w:rsid w:val="00536759"/>
    <w:rsid w:val="00537C62"/>
    <w:rsid w:val="005433B1"/>
    <w:rsid w:val="00543420"/>
    <w:rsid w:val="00546970"/>
    <w:rsid w:val="00551512"/>
    <w:rsid w:val="00551887"/>
    <w:rsid w:val="00554E19"/>
    <w:rsid w:val="0055558C"/>
    <w:rsid w:val="005561E8"/>
    <w:rsid w:val="00557375"/>
    <w:rsid w:val="005574F6"/>
    <w:rsid w:val="00557A53"/>
    <w:rsid w:val="00560A38"/>
    <w:rsid w:val="00560FF2"/>
    <w:rsid w:val="005611B3"/>
    <w:rsid w:val="0056121F"/>
    <w:rsid w:val="0056180E"/>
    <w:rsid w:val="00561CD5"/>
    <w:rsid w:val="0056355A"/>
    <w:rsid w:val="005637CC"/>
    <w:rsid w:val="00564922"/>
    <w:rsid w:val="00565C59"/>
    <w:rsid w:val="0057163C"/>
    <w:rsid w:val="00572505"/>
    <w:rsid w:val="005739D3"/>
    <w:rsid w:val="005754AF"/>
    <w:rsid w:val="005756B5"/>
    <w:rsid w:val="00576599"/>
    <w:rsid w:val="00577940"/>
    <w:rsid w:val="00580706"/>
    <w:rsid w:val="00580A36"/>
    <w:rsid w:val="005811DC"/>
    <w:rsid w:val="0058130C"/>
    <w:rsid w:val="00581BBF"/>
    <w:rsid w:val="00582809"/>
    <w:rsid w:val="00586C5B"/>
    <w:rsid w:val="005872B4"/>
    <w:rsid w:val="0058798C"/>
    <w:rsid w:val="005900FA"/>
    <w:rsid w:val="00590966"/>
    <w:rsid w:val="00592BA2"/>
    <w:rsid w:val="005935A4"/>
    <w:rsid w:val="005948C2"/>
    <w:rsid w:val="00595DCA"/>
    <w:rsid w:val="0059779B"/>
    <w:rsid w:val="005A0754"/>
    <w:rsid w:val="005A154E"/>
    <w:rsid w:val="005A209A"/>
    <w:rsid w:val="005A369F"/>
    <w:rsid w:val="005A38B4"/>
    <w:rsid w:val="005A5B97"/>
    <w:rsid w:val="005A662D"/>
    <w:rsid w:val="005B0502"/>
    <w:rsid w:val="005B0619"/>
    <w:rsid w:val="005B13A2"/>
    <w:rsid w:val="005B35D7"/>
    <w:rsid w:val="005B3844"/>
    <w:rsid w:val="005B392A"/>
    <w:rsid w:val="005B3AA3"/>
    <w:rsid w:val="005B4EED"/>
    <w:rsid w:val="005B4F0C"/>
    <w:rsid w:val="005B648D"/>
    <w:rsid w:val="005B6F83"/>
    <w:rsid w:val="005C2BC4"/>
    <w:rsid w:val="005C4803"/>
    <w:rsid w:val="005C5A52"/>
    <w:rsid w:val="005C6579"/>
    <w:rsid w:val="005C68F8"/>
    <w:rsid w:val="005C74FB"/>
    <w:rsid w:val="005D05F2"/>
    <w:rsid w:val="005D1602"/>
    <w:rsid w:val="005D2288"/>
    <w:rsid w:val="005E36DB"/>
    <w:rsid w:val="005E385F"/>
    <w:rsid w:val="005E43F4"/>
    <w:rsid w:val="005E5B81"/>
    <w:rsid w:val="005F04FA"/>
    <w:rsid w:val="005F0A1C"/>
    <w:rsid w:val="005F11BF"/>
    <w:rsid w:val="005F2CB1"/>
    <w:rsid w:val="005F3025"/>
    <w:rsid w:val="005F55DC"/>
    <w:rsid w:val="005F587D"/>
    <w:rsid w:val="005F618C"/>
    <w:rsid w:val="005F70BD"/>
    <w:rsid w:val="0060283C"/>
    <w:rsid w:val="00604F14"/>
    <w:rsid w:val="00607A0A"/>
    <w:rsid w:val="00610751"/>
    <w:rsid w:val="00611B83"/>
    <w:rsid w:val="00613257"/>
    <w:rsid w:val="00617FEE"/>
    <w:rsid w:val="00620A71"/>
    <w:rsid w:val="00620AD3"/>
    <w:rsid w:val="00620D80"/>
    <w:rsid w:val="00622786"/>
    <w:rsid w:val="006234A6"/>
    <w:rsid w:val="00624461"/>
    <w:rsid w:val="006248C0"/>
    <w:rsid w:val="00624BE0"/>
    <w:rsid w:val="00624D23"/>
    <w:rsid w:val="00627F8A"/>
    <w:rsid w:val="00630001"/>
    <w:rsid w:val="006311B3"/>
    <w:rsid w:val="0063276E"/>
    <w:rsid w:val="0063284C"/>
    <w:rsid w:val="00632A07"/>
    <w:rsid w:val="00636398"/>
    <w:rsid w:val="006368D3"/>
    <w:rsid w:val="006377EC"/>
    <w:rsid w:val="006378B2"/>
    <w:rsid w:val="00640CE9"/>
    <w:rsid w:val="0064151F"/>
    <w:rsid w:val="00641533"/>
    <w:rsid w:val="0064208D"/>
    <w:rsid w:val="00642EAF"/>
    <w:rsid w:val="00643475"/>
    <w:rsid w:val="00643571"/>
    <w:rsid w:val="0064396A"/>
    <w:rsid w:val="0064624E"/>
    <w:rsid w:val="00646964"/>
    <w:rsid w:val="00650AB9"/>
    <w:rsid w:val="006512FA"/>
    <w:rsid w:val="0065469C"/>
    <w:rsid w:val="0065535A"/>
    <w:rsid w:val="00655733"/>
    <w:rsid w:val="00655ACD"/>
    <w:rsid w:val="00656A92"/>
    <w:rsid w:val="00656DDE"/>
    <w:rsid w:val="0066011D"/>
    <w:rsid w:val="006607C0"/>
    <w:rsid w:val="006613A6"/>
    <w:rsid w:val="006627A2"/>
    <w:rsid w:val="006634E6"/>
    <w:rsid w:val="006645CD"/>
    <w:rsid w:val="006655EE"/>
    <w:rsid w:val="00667EE7"/>
    <w:rsid w:val="00670922"/>
    <w:rsid w:val="00670BE1"/>
    <w:rsid w:val="0067218F"/>
    <w:rsid w:val="006741F2"/>
    <w:rsid w:val="00674CC3"/>
    <w:rsid w:val="00675603"/>
    <w:rsid w:val="00675C72"/>
    <w:rsid w:val="006771F9"/>
    <w:rsid w:val="006776D7"/>
    <w:rsid w:val="00681003"/>
    <w:rsid w:val="006817C9"/>
    <w:rsid w:val="00683ECE"/>
    <w:rsid w:val="00685D97"/>
    <w:rsid w:val="00685EFE"/>
    <w:rsid w:val="00686697"/>
    <w:rsid w:val="006907D6"/>
    <w:rsid w:val="00690DB5"/>
    <w:rsid w:val="006911C1"/>
    <w:rsid w:val="00693B03"/>
    <w:rsid w:val="006954CB"/>
    <w:rsid w:val="00695FC2"/>
    <w:rsid w:val="00696949"/>
    <w:rsid w:val="00697052"/>
    <w:rsid w:val="00697E8D"/>
    <w:rsid w:val="006A3AE8"/>
    <w:rsid w:val="006A41ED"/>
    <w:rsid w:val="006A46FB"/>
    <w:rsid w:val="006A53F8"/>
    <w:rsid w:val="006A5E28"/>
    <w:rsid w:val="006A697B"/>
    <w:rsid w:val="006A7AFF"/>
    <w:rsid w:val="006B1816"/>
    <w:rsid w:val="006B2099"/>
    <w:rsid w:val="006B50CF"/>
    <w:rsid w:val="006B5EE0"/>
    <w:rsid w:val="006C03B8"/>
    <w:rsid w:val="006C06E4"/>
    <w:rsid w:val="006C3C6D"/>
    <w:rsid w:val="006C5503"/>
    <w:rsid w:val="006C5EC9"/>
    <w:rsid w:val="006C6059"/>
    <w:rsid w:val="006C7522"/>
    <w:rsid w:val="006D3EE5"/>
    <w:rsid w:val="006D6D47"/>
    <w:rsid w:val="006D6F08"/>
    <w:rsid w:val="006D7069"/>
    <w:rsid w:val="006E062C"/>
    <w:rsid w:val="006E28B7"/>
    <w:rsid w:val="006E2EEF"/>
    <w:rsid w:val="006E3310"/>
    <w:rsid w:val="006E3432"/>
    <w:rsid w:val="006E4E39"/>
    <w:rsid w:val="006E565E"/>
    <w:rsid w:val="006E673D"/>
    <w:rsid w:val="006E7D3B"/>
    <w:rsid w:val="006F06BB"/>
    <w:rsid w:val="006F1634"/>
    <w:rsid w:val="006F1B70"/>
    <w:rsid w:val="006F341D"/>
    <w:rsid w:val="006F3CDE"/>
    <w:rsid w:val="006F58D4"/>
    <w:rsid w:val="006F6A4C"/>
    <w:rsid w:val="00700C93"/>
    <w:rsid w:val="0070346E"/>
    <w:rsid w:val="0070386E"/>
    <w:rsid w:val="007043FB"/>
    <w:rsid w:val="00704EDB"/>
    <w:rsid w:val="0070537F"/>
    <w:rsid w:val="00706101"/>
    <w:rsid w:val="00707072"/>
    <w:rsid w:val="00707D61"/>
    <w:rsid w:val="00712287"/>
    <w:rsid w:val="00712772"/>
    <w:rsid w:val="007148D3"/>
    <w:rsid w:val="00714D56"/>
    <w:rsid w:val="00715765"/>
    <w:rsid w:val="00715B9A"/>
    <w:rsid w:val="00715BE9"/>
    <w:rsid w:val="00720BB4"/>
    <w:rsid w:val="00721475"/>
    <w:rsid w:val="00721593"/>
    <w:rsid w:val="00723E7A"/>
    <w:rsid w:val="00724908"/>
    <w:rsid w:val="00726AB4"/>
    <w:rsid w:val="00726EA6"/>
    <w:rsid w:val="00727208"/>
    <w:rsid w:val="00727680"/>
    <w:rsid w:val="00727F66"/>
    <w:rsid w:val="00731BAB"/>
    <w:rsid w:val="00733B2B"/>
    <w:rsid w:val="007348B1"/>
    <w:rsid w:val="00734B23"/>
    <w:rsid w:val="007362A6"/>
    <w:rsid w:val="0073690D"/>
    <w:rsid w:val="00736B85"/>
    <w:rsid w:val="00736D7D"/>
    <w:rsid w:val="0074070A"/>
    <w:rsid w:val="00740E58"/>
    <w:rsid w:val="00742EBB"/>
    <w:rsid w:val="007445A0"/>
    <w:rsid w:val="0074524B"/>
    <w:rsid w:val="00747D8B"/>
    <w:rsid w:val="00750116"/>
    <w:rsid w:val="00751228"/>
    <w:rsid w:val="00753A1A"/>
    <w:rsid w:val="00753CC3"/>
    <w:rsid w:val="00756248"/>
    <w:rsid w:val="007571E1"/>
    <w:rsid w:val="0075787C"/>
    <w:rsid w:val="007604B2"/>
    <w:rsid w:val="0076276C"/>
    <w:rsid w:val="00763D18"/>
    <w:rsid w:val="00763EC7"/>
    <w:rsid w:val="00765281"/>
    <w:rsid w:val="0076559B"/>
    <w:rsid w:val="00765CAE"/>
    <w:rsid w:val="00766BAD"/>
    <w:rsid w:val="007714D4"/>
    <w:rsid w:val="00771F74"/>
    <w:rsid w:val="00772779"/>
    <w:rsid w:val="007730BD"/>
    <w:rsid w:val="007755F2"/>
    <w:rsid w:val="00776971"/>
    <w:rsid w:val="00777F69"/>
    <w:rsid w:val="0078177E"/>
    <w:rsid w:val="00781D85"/>
    <w:rsid w:val="00782BD0"/>
    <w:rsid w:val="0078304C"/>
    <w:rsid w:val="0078338F"/>
    <w:rsid w:val="00783673"/>
    <w:rsid w:val="0078540C"/>
    <w:rsid w:val="00785490"/>
    <w:rsid w:val="007855EC"/>
    <w:rsid w:val="0078740D"/>
    <w:rsid w:val="007901B4"/>
    <w:rsid w:val="007925EA"/>
    <w:rsid w:val="00792EA3"/>
    <w:rsid w:val="00793CD8"/>
    <w:rsid w:val="00795C92"/>
    <w:rsid w:val="00796231"/>
    <w:rsid w:val="00796892"/>
    <w:rsid w:val="00797ACB"/>
    <w:rsid w:val="007A0A8F"/>
    <w:rsid w:val="007A1CB3"/>
    <w:rsid w:val="007A1E44"/>
    <w:rsid w:val="007A306F"/>
    <w:rsid w:val="007A43A6"/>
    <w:rsid w:val="007A58A6"/>
    <w:rsid w:val="007A68B6"/>
    <w:rsid w:val="007A75D9"/>
    <w:rsid w:val="007A7E25"/>
    <w:rsid w:val="007B2529"/>
    <w:rsid w:val="007B315E"/>
    <w:rsid w:val="007B3B2E"/>
    <w:rsid w:val="007B3D2D"/>
    <w:rsid w:val="007B50AE"/>
    <w:rsid w:val="007B51DF"/>
    <w:rsid w:val="007B5224"/>
    <w:rsid w:val="007C05DD"/>
    <w:rsid w:val="007C0CC1"/>
    <w:rsid w:val="007C1E10"/>
    <w:rsid w:val="007C25B7"/>
    <w:rsid w:val="007C274C"/>
    <w:rsid w:val="007C3D18"/>
    <w:rsid w:val="007C60BF"/>
    <w:rsid w:val="007C67DF"/>
    <w:rsid w:val="007C6A07"/>
    <w:rsid w:val="007C75A1"/>
    <w:rsid w:val="007C77A5"/>
    <w:rsid w:val="007D0422"/>
    <w:rsid w:val="007D04E5"/>
    <w:rsid w:val="007D158E"/>
    <w:rsid w:val="007D5901"/>
    <w:rsid w:val="007D7526"/>
    <w:rsid w:val="007E037D"/>
    <w:rsid w:val="007E4610"/>
    <w:rsid w:val="007E4715"/>
    <w:rsid w:val="007E505B"/>
    <w:rsid w:val="007E7091"/>
    <w:rsid w:val="007E7BF0"/>
    <w:rsid w:val="007F5674"/>
    <w:rsid w:val="007F56DB"/>
    <w:rsid w:val="007F5B02"/>
    <w:rsid w:val="00801D18"/>
    <w:rsid w:val="00802F8A"/>
    <w:rsid w:val="00803FAE"/>
    <w:rsid w:val="0080605F"/>
    <w:rsid w:val="00807786"/>
    <w:rsid w:val="00811FCB"/>
    <w:rsid w:val="008158D6"/>
    <w:rsid w:val="00817196"/>
    <w:rsid w:val="00817324"/>
    <w:rsid w:val="00821855"/>
    <w:rsid w:val="00821AB7"/>
    <w:rsid w:val="008235DB"/>
    <w:rsid w:val="00824718"/>
    <w:rsid w:val="00824AB4"/>
    <w:rsid w:val="00825C42"/>
    <w:rsid w:val="00825D25"/>
    <w:rsid w:val="00827D6F"/>
    <w:rsid w:val="00833194"/>
    <w:rsid w:val="00833657"/>
    <w:rsid w:val="008354DB"/>
    <w:rsid w:val="008376AC"/>
    <w:rsid w:val="0084118A"/>
    <w:rsid w:val="008444E8"/>
    <w:rsid w:val="00844A2F"/>
    <w:rsid w:val="00844E80"/>
    <w:rsid w:val="008453FE"/>
    <w:rsid w:val="00846FE7"/>
    <w:rsid w:val="008479D9"/>
    <w:rsid w:val="00850CEC"/>
    <w:rsid w:val="0085118A"/>
    <w:rsid w:val="00851A28"/>
    <w:rsid w:val="00853780"/>
    <w:rsid w:val="0085613D"/>
    <w:rsid w:val="00856777"/>
    <w:rsid w:val="00856911"/>
    <w:rsid w:val="00857DC3"/>
    <w:rsid w:val="0086070E"/>
    <w:rsid w:val="0086153D"/>
    <w:rsid w:val="0086449E"/>
    <w:rsid w:val="00865D54"/>
    <w:rsid w:val="008677FD"/>
    <w:rsid w:val="00867DDE"/>
    <w:rsid w:val="008706D4"/>
    <w:rsid w:val="00870F8A"/>
    <w:rsid w:val="00871704"/>
    <w:rsid w:val="008719A4"/>
    <w:rsid w:val="00871D23"/>
    <w:rsid w:val="00874312"/>
    <w:rsid w:val="0087437C"/>
    <w:rsid w:val="00875CD7"/>
    <w:rsid w:val="00876B4D"/>
    <w:rsid w:val="00877F18"/>
    <w:rsid w:val="00881DA8"/>
    <w:rsid w:val="0088405D"/>
    <w:rsid w:val="00884A33"/>
    <w:rsid w:val="00885A05"/>
    <w:rsid w:val="00885B54"/>
    <w:rsid w:val="0088671F"/>
    <w:rsid w:val="00893358"/>
    <w:rsid w:val="00894A88"/>
    <w:rsid w:val="00895386"/>
    <w:rsid w:val="00895BEC"/>
    <w:rsid w:val="00896C1C"/>
    <w:rsid w:val="008A0EB2"/>
    <w:rsid w:val="008A10AD"/>
    <w:rsid w:val="008A21FF"/>
    <w:rsid w:val="008A2CE2"/>
    <w:rsid w:val="008A30AC"/>
    <w:rsid w:val="008A44B8"/>
    <w:rsid w:val="008A51A8"/>
    <w:rsid w:val="008A54C7"/>
    <w:rsid w:val="008A657D"/>
    <w:rsid w:val="008A77D8"/>
    <w:rsid w:val="008B0483"/>
    <w:rsid w:val="008B0B15"/>
    <w:rsid w:val="008B120C"/>
    <w:rsid w:val="008B51A0"/>
    <w:rsid w:val="008B592A"/>
    <w:rsid w:val="008B6E34"/>
    <w:rsid w:val="008B78A6"/>
    <w:rsid w:val="008B7B5C"/>
    <w:rsid w:val="008C0C99"/>
    <w:rsid w:val="008C0F15"/>
    <w:rsid w:val="008C2017"/>
    <w:rsid w:val="008C43A4"/>
    <w:rsid w:val="008C452A"/>
    <w:rsid w:val="008C4958"/>
    <w:rsid w:val="008C4BAA"/>
    <w:rsid w:val="008C6AE8"/>
    <w:rsid w:val="008C7303"/>
    <w:rsid w:val="008C731E"/>
    <w:rsid w:val="008C7573"/>
    <w:rsid w:val="008C77EA"/>
    <w:rsid w:val="008D089A"/>
    <w:rsid w:val="008D0AE1"/>
    <w:rsid w:val="008D1907"/>
    <w:rsid w:val="008D34F1"/>
    <w:rsid w:val="008D39D8"/>
    <w:rsid w:val="008D57A1"/>
    <w:rsid w:val="008D5898"/>
    <w:rsid w:val="008D6D1A"/>
    <w:rsid w:val="008E065E"/>
    <w:rsid w:val="008E0927"/>
    <w:rsid w:val="008E1909"/>
    <w:rsid w:val="008E1A1E"/>
    <w:rsid w:val="008E2112"/>
    <w:rsid w:val="008E24C8"/>
    <w:rsid w:val="008E3668"/>
    <w:rsid w:val="008E3D43"/>
    <w:rsid w:val="008E7538"/>
    <w:rsid w:val="008F0528"/>
    <w:rsid w:val="008F0834"/>
    <w:rsid w:val="008F1EAB"/>
    <w:rsid w:val="008F20B4"/>
    <w:rsid w:val="008F286C"/>
    <w:rsid w:val="008F323B"/>
    <w:rsid w:val="008F33DC"/>
    <w:rsid w:val="008F4447"/>
    <w:rsid w:val="008F477F"/>
    <w:rsid w:val="008F598B"/>
    <w:rsid w:val="00900C7D"/>
    <w:rsid w:val="00901053"/>
    <w:rsid w:val="00901618"/>
    <w:rsid w:val="00901ABC"/>
    <w:rsid w:val="00902350"/>
    <w:rsid w:val="0090336B"/>
    <w:rsid w:val="009053AA"/>
    <w:rsid w:val="00905519"/>
    <w:rsid w:val="00905C61"/>
    <w:rsid w:val="00906939"/>
    <w:rsid w:val="00910B7D"/>
    <w:rsid w:val="00911DFB"/>
    <w:rsid w:val="009139D9"/>
    <w:rsid w:val="00914AD8"/>
    <w:rsid w:val="00914D76"/>
    <w:rsid w:val="00916079"/>
    <w:rsid w:val="00917CE9"/>
    <w:rsid w:val="00920BF2"/>
    <w:rsid w:val="0092192F"/>
    <w:rsid w:val="00921DDC"/>
    <w:rsid w:val="00922010"/>
    <w:rsid w:val="00924C82"/>
    <w:rsid w:val="009259E4"/>
    <w:rsid w:val="009263BF"/>
    <w:rsid w:val="00931BD9"/>
    <w:rsid w:val="00934670"/>
    <w:rsid w:val="009368F3"/>
    <w:rsid w:val="00937FD2"/>
    <w:rsid w:val="00941636"/>
    <w:rsid w:val="00943742"/>
    <w:rsid w:val="00943E3A"/>
    <w:rsid w:val="00945C05"/>
    <w:rsid w:val="00946945"/>
    <w:rsid w:val="00946F66"/>
    <w:rsid w:val="00947713"/>
    <w:rsid w:val="00950DE7"/>
    <w:rsid w:val="00951558"/>
    <w:rsid w:val="00951F64"/>
    <w:rsid w:val="009523F6"/>
    <w:rsid w:val="00953920"/>
    <w:rsid w:val="00953D47"/>
    <w:rsid w:val="0095681E"/>
    <w:rsid w:val="009572D4"/>
    <w:rsid w:val="00961921"/>
    <w:rsid w:val="0096430A"/>
    <w:rsid w:val="009644C3"/>
    <w:rsid w:val="009651D1"/>
    <w:rsid w:val="0096554B"/>
    <w:rsid w:val="0096584A"/>
    <w:rsid w:val="009667FA"/>
    <w:rsid w:val="0096754D"/>
    <w:rsid w:val="00971F08"/>
    <w:rsid w:val="009737CC"/>
    <w:rsid w:val="009742F2"/>
    <w:rsid w:val="0097537C"/>
    <w:rsid w:val="0097603D"/>
    <w:rsid w:val="00976949"/>
    <w:rsid w:val="00976E3B"/>
    <w:rsid w:val="00980477"/>
    <w:rsid w:val="00985253"/>
    <w:rsid w:val="009853B3"/>
    <w:rsid w:val="009855D7"/>
    <w:rsid w:val="00990630"/>
    <w:rsid w:val="0099087C"/>
    <w:rsid w:val="00991761"/>
    <w:rsid w:val="00991CFB"/>
    <w:rsid w:val="00993AC1"/>
    <w:rsid w:val="00993E53"/>
    <w:rsid w:val="00994DCA"/>
    <w:rsid w:val="00994E9F"/>
    <w:rsid w:val="009960EC"/>
    <w:rsid w:val="00996586"/>
    <w:rsid w:val="009970DD"/>
    <w:rsid w:val="009975EE"/>
    <w:rsid w:val="009A0C48"/>
    <w:rsid w:val="009A0FBA"/>
    <w:rsid w:val="009A1601"/>
    <w:rsid w:val="009A208B"/>
    <w:rsid w:val="009A3EF5"/>
    <w:rsid w:val="009A462D"/>
    <w:rsid w:val="009A5CBA"/>
    <w:rsid w:val="009A656C"/>
    <w:rsid w:val="009B1F30"/>
    <w:rsid w:val="009B3AC2"/>
    <w:rsid w:val="009B4DF4"/>
    <w:rsid w:val="009B564E"/>
    <w:rsid w:val="009B5BD4"/>
    <w:rsid w:val="009B7E87"/>
    <w:rsid w:val="009C04DF"/>
    <w:rsid w:val="009C3F24"/>
    <w:rsid w:val="009C403E"/>
    <w:rsid w:val="009C6433"/>
    <w:rsid w:val="009C6867"/>
    <w:rsid w:val="009D0E10"/>
    <w:rsid w:val="009D22FC"/>
    <w:rsid w:val="009D4FF0"/>
    <w:rsid w:val="009D703C"/>
    <w:rsid w:val="009D718F"/>
    <w:rsid w:val="009E068F"/>
    <w:rsid w:val="009E14E0"/>
    <w:rsid w:val="009E33FC"/>
    <w:rsid w:val="009E35DB"/>
    <w:rsid w:val="009E47A3"/>
    <w:rsid w:val="009E4AA8"/>
    <w:rsid w:val="009E703A"/>
    <w:rsid w:val="009E7679"/>
    <w:rsid w:val="009F08F3"/>
    <w:rsid w:val="009F321E"/>
    <w:rsid w:val="009F344F"/>
    <w:rsid w:val="009F6839"/>
    <w:rsid w:val="00A02C19"/>
    <w:rsid w:val="00A048A8"/>
    <w:rsid w:val="00A04F49"/>
    <w:rsid w:val="00A103B2"/>
    <w:rsid w:val="00A1337A"/>
    <w:rsid w:val="00A13E54"/>
    <w:rsid w:val="00A1474F"/>
    <w:rsid w:val="00A15C41"/>
    <w:rsid w:val="00A17F63"/>
    <w:rsid w:val="00A217DB"/>
    <w:rsid w:val="00A2193B"/>
    <w:rsid w:val="00A2351A"/>
    <w:rsid w:val="00A264A9"/>
    <w:rsid w:val="00A27785"/>
    <w:rsid w:val="00A27E11"/>
    <w:rsid w:val="00A30187"/>
    <w:rsid w:val="00A317BD"/>
    <w:rsid w:val="00A319EE"/>
    <w:rsid w:val="00A31FB4"/>
    <w:rsid w:val="00A338C0"/>
    <w:rsid w:val="00A3448A"/>
    <w:rsid w:val="00A36297"/>
    <w:rsid w:val="00A3785C"/>
    <w:rsid w:val="00A41E2B"/>
    <w:rsid w:val="00A45B74"/>
    <w:rsid w:val="00A45C64"/>
    <w:rsid w:val="00A46C19"/>
    <w:rsid w:val="00A51A52"/>
    <w:rsid w:val="00A529F0"/>
    <w:rsid w:val="00A52E1D"/>
    <w:rsid w:val="00A5300A"/>
    <w:rsid w:val="00A537F9"/>
    <w:rsid w:val="00A555C7"/>
    <w:rsid w:val="00A6036F"/>
    <w:rsid w:val="00A60B50"/>
    <w:rsid w:val="00A61499"/>
    <w:rsid w:val="00A6152C"/>
    <w:rsid w:val="00A62A77"/>
    <w:rsid w:val="00A63483"/>
    <w:rsid w:val="00A645E1"/>
    <w:rsid w:val="00A657D7"/>
    <w:rsid w:val="00A660AC"/>
    <w:rsid w:val="00A675FB"/>
    <w:rsid w:val="00A67E6C"/>
    <w:rsid w:val="00A70738"/>
    <w:rsid w:val="00A71B99"/>
    <w:rsid w:val="00A72282"/>
    <w:rsid w:val="00A739D0"/>
    <w:rsid w:val="00A760BE"/>
    <w:rsid w:val="00A761D4"/>
    <w:rsid w:val="00A77EC4"/>
    <w:rsid w:val="00A811B2"/>
    <w:rsid w:val="00A8159F"/>
    <w:rsid w:val="00A82CC8"/>
    <w:rsid w:val="00A86359"/>
    <w:rsid w:val="00A92879"/>
    <w:rsid w:val="00A932E0"/>
    <w:rsid w:val="00A9360B"/>
    <w:rsid w:val="00A9442A"/>
    <w:rsid w:val="00A96566"/>
    <w:rsid w:val="00A9707E"/>
    <w:rsid w:val="00AA016F"/>
    <w:rsid w:val="00AA10FE"/>
    <w:rsid w:val="00AA1ED6"/>
    <w:rsid w:val="00AA3BFC"/>
    <w:rsid w:val="00AA51D6"/>
    <w:rsid w:val="00AB07B1"/>
    <w:rsid w:val="00AB0BC8"/>
    <w:rsid w:val="00AB11CA"/>
    <w:rsid w:val="00AB14D9"/>
    <w:rsid w:val="00AB4AB8"/>
    <w:rsid w:val="00AB5E74"/>
    <w:rsid w:val="00AB629A"/>
    <w:rsid w:val="00AB63FE"/>
    <w:rsid w:val="00AB655E"/>
    <w:rsid w:val="00AC007F"/>
    <w:rsid w:val="00AC2ECD"/>
    <w:rsid w:val="00AC3119"/>
    <w:rsid w:val="00AC3602"/>
    <w:rsid w:val="00AC3C33"/>
    <w:rsid w:val="00AC49FB"/>
    <w:rsid w:val="00AC5A10"/>
    <w:rsid w:val="00AC6BCE"/>
    <w:rsid w:val="00AC7DFB"/>
    <w:rsid w:val="00AD0AA3"/>
    <w:rsid w:val="00AD0E0F"/>
    <w:rsid w:val="00AD2E64"/>
    <w:rsid w:val="00AD3F94"/>
    <w:rsid w:val="00AD46FB"/>
    <w:rsid w:val="00AD4A5A"/>
    <w:rsid w:val="00AD5CA1"/>
    <w:rsid w:val="00AE27AC"/>
    <w:rsid w:val="00AE3757"/>
    <w:rsid w:val="00AE40E0"/>
    <w:rsid w:val="00AE43AD"/>
    <w:rsid w:val="00AE4DBA"/>
    <w:rsid w:val="00AE4F07"/>
    <w:rsid w:val="00AE6E4A"/>
    <w:rsid w:val="00AF1C5D"/>
    <w:rsid w:val="00AF3CD1"/>
    <w:rsid w:val="00AF42D7"/>
    <w:rsid w:val="00AF66CA"/>
    <w:rsid w:val="00B006FE"/>
    <w:rsid w:val="00B007CB"/>
    <w:rsid w:val="00B02AA9"/>
    <w:rsid w:val="00B02FA3"/>
    <w:rsid w:val="00B04833"/>
    <w:rsid w:val="00B05084"/>
    <w:rsid w:val="00B06FF0"/>
    <w:rsid w:val="00B1122E"/>
    <w:rsid w:val="00B157B9"/>
    <w:rsid w:val="00B157F9"/>
    <w:rsid w:val="00B167F1"/>
    <w:rsid w:val="00B20256"/>
    <w:rsid w:val="00B20D09"/>
    <w:rsid w:val="00B24F10"/>
    <w:rsid w:val="00B2763F"/>
    <w:rsid w:val="00B2782B"/>
    <w:rsid w:val="00B27AAC"/>
    <w:rsid w:val="00B30929"/>
    <w:rsid w:val="00B3329B"/>
    <w:rsid w:val="00B33878"/>
    <w:rsid w:val="00B34705"/>
    <w:rsid w:val="00B35A6E"/>
    <w:rsid w:val="00B372AA"/>
    <w:rsid w:val="00B37FE0"/>
    <w:rsid w:val="00B40445"/>
    <w:rsid w:val="00B415B4"/>
    <w:rsid w:val="00B41888"/>
    <w:rsid w:val="00B42777"/>
    <w:rsid w:val="00B45470"/>
    <w:rsid w:val="00B45A52"/>
    <w:rsid w:val="00B46175"/>
    <w:rsid w:val="00B505D1"/>
    <w:rsid w:val="00B521EF"/>
    <w:rsid w:val="00B55886"/>
    <w:rsid w:val="00B60A44"/>
    <w:rsid w:val="00B616C5"/>
    <w:rsid w:val="00B62AAA"/>
    <w:rsid w:val="00B653D8"/>
    <w:rsid w:val="00B664C7"/>
    <w:rsid w:val="00B6678F"/>
    <w:rsid w:val="00B67ECD"/>
    <w:rsid w:val="00B716BA"/>
    <w:rsid w:val="00B739F6"/>
    <w:rsid w:val="00B74AC0"/>
    <w:rsid w:val="00B77E93"/>
    <w:rsid w:val="00B803B5"/>
    <w:rsid w:val="00B819D2"/>
    <w:rsid w:val="00B81A6C"/>
    <w:rsid w:val="00B82D4B"/>
    <w:rsid w:val="00B84A12"/>
    <w:rsid w:val="00B85DE5"/>
    <w:rsid w:val="00B87046"/>
    <w:rsid w:val="00B90291"/>
    <w:rsid w:val="00B904C9"/>
    <w:rsid w:val="00B906ED"/>
    <w:rsid w:val="00B9093E"/>
    <w:rsid w:val="00B90F73"/>
    <w:rsid w:val="00B92810"/>
    <w:rsid w:val="00B93B59"/>
    <w:rsid w:val="00B9406A"/>
    <w:rsid w:val="00B943BD"/>
    <w:rsid w:val="00B97969"/>
    <w:rsid w:val="00BA048E"/>
    <w:rsid w:val="00BA2280"/>
    <w:rsid w:val="00BA2A08"/>
    <w:rsid w:val="00BA56D2"/>
    <w:rsid w:val="00BA5D7D"/>
    <w:rsid w:val="00BA76E0"/>
    <w:rsid w:val="00BA781C"/>
    <w:rsid w:val="00BB2A25"/>
    <w:rsid w:val="00BB2E6A"/>
    <w:rsid w:val="00BB3EA3"/>
    <w:rsid w:val="00BB4C14"/>
    <w:rsid w:val="00BB51E9"/>
    <w:rsid w:val="00BC0FDC"/>
    <w:rsid w:val="00BC21F5"/>
    <w:rsid w:val="00BC3053"/>
    <w:rsid w:val="00BC4D2E"/>
    <w:rsid w:val="00BC5C11"/>
    <w:rsid w:val="00BD2222"/>
    <w:rsid w:val="00BD3678"/>
    <w:rsid w:val="00BD48A2"/>
    <w:rsid w:val="00BD48AC"/>
    <w:rsid w:val="00BD5F1A"/>
    <w:rsid w:val="00BE00FF"/>
    <w:rsid w:val="00BE02C2"/>
    <w:rsid w:val="00BE058C"/>
    <w:rsid w:val="00BE0D14"/>
    <w:rsid w:val="00BE1234"/>
    <w:rsid w:val="00BE18D1"/>
    <w:rsid w:val="00BE2BAF"/>
    <w:rsid w:val="00BE2FA6"/>
    <w:rsid w:val="00BE333F"/>
    <w:rsid w:val="00BE3D9D"/>
    <w:rsid w:val="00BE5C7A"/>
    <w:rsid w:val="00BE7406"/>
    <w:rsid w:val="00BE7603"/>
    <w:rsid w:val="00BF0D1E"/>
    <w:rsid w:val="00BF31F3"/>
    <w:rsid w:val="00BF3279"/>
    <w:rsid w:val="00BF7030"/>
    <w:rsid w:val="00BF74C7"/>
    <w:rsid w:val="00BF7AAD"/>
    <w:rsid w:val="00C015F1"/>
    <w:rsid w:val="00C01C6A"/>
    <w:rsid w:val="00C01E21"/>
    <w:rsid w:val="00C01F33"/>
    <w:rsid w:val="00C02CC6"/>
    <w:rsid w:val="00C03207"/>
    <w:rsid w:val="00C040F7"/>
    <w:rsid w:val="00C041B0"/>
    <w:rsid w:val="00C044AB"/>
    <w:rsid w:val="00C05706"/>
    <w:rsid w:val="00C07377"/>
    <w:rsid w:val="00C07BC2"/>
    <w:rsid w:val="00C10478"/>
    <w:rsid w:val="00C12107"/>
    <w:rsid w:val="00C12B3C"/>
    <w:rsid w:val="00C14D4B"/>
    <w:rsid w:val="00C154BB"/>
    <w:rsid w:val="00C17098"/>
    <w:rsid w:val="00C171EB"/>
    <w:rsid w:val="00C24AF5"/>
    <w:rsid w:val="00C25B09"/>
    <w:rsid w:val="00C25B5F"/>
    <w:rsid w:val="00C279B5"/>
    <w:rsid w:val="00C27C45"/>
    <w:rsid w:val="00C31603"/>
    <w:rsid w:val="00C32440"/>
    <w:rsid w:val="00C331F2"/>
    <w:rsid w:val="00C3719D"/>
    <w:rsid w:val="00C437FE"/>
    <w:rsid w:val="00C44421"/>
    <w:rsid w:val="00C459AB"/>
    <w:rsid w:val="00C46C4F"/>
    <w:rsid w:val="00C50281"/>
    <w:rsid w:val="00C526CF"/>
    <w:rsid w:val="00C54995"/>
    <w:rsid w:val="00C54D41"/>
    <w:rsid w:val="00C5588E"/>
    <w:rsid w:val="00C60783"/>
    <w:rsid w:val="00C608B6"/>
    <w:rsid w:val="00C64672"/>
    <w:rsid w:val="00C657B5"/>
    <w:rsid w:val="00C67DB0"/>
    <w:rsid w:val="00C70697"/>
    <w:rsid w:val="00C718A3"/>
    <w:rsid w:val="00C7284C"/>
    <w:rsid w:val="00C72EF4"/>
    <w:rsid w:val="00C743BB"/>
    <w:rsid w:val="00C75D2F"/>
    <w:rsid w:val="00C75EE0"/>
    <w:rsid w:val="00C767BE"/>
    <w:rsid w:val="00C76963"/>
    <w:rsid w:val="00C76E3C"/>
    <w:rsid w:val="00C77496"/>
    <w:rsid w:val="00C77CBD"/>
    <w:rsid w:val="00C77F5E"/>
    <w:rsid w:val="00C81568"/>
    <w:rsid w:val="00C81F3E"/>
    <w:rsid w:val="00C83252"/>
    <w:rsid w:val="00C8504F"/>
    <w:rsid w:val="00C9027A"/>
    <w:rsid w:val="00C9068E"/>
    <w:rsid w:val="00C91251"/>
    <w:rsid w:val="00C928A5"/>
    <w:rsid w:val="00C93C4B"/>
    <w:rsid w:val="00C944AB"/>
    <w:rsid w:val="00C95B40"/>
    <w:rsid w:val="00C962FD"/>
    <w:rsid w:val="00C96639"/>
    <w:rsid w:val="00CA0D23"/>
    <w:rsid w:val="00CA1C91"/>
    <w:rsid w:val="00CA1ED8"/>
    <w:rsid w:val="00CA20FD"/>
    <w:rsid w:val="00CA2C50"/>
    <w:rsid w:val="00CA3280"/>
    <w:rsid w:val="00CA5FB0"/>
    <w:rsid w:val="00CB0616"/>
    <w:rsid w:val="00CB1F63"/>
    <w:rsid w:val="00CB2B23"/>
    <w:rsid w:val="00CB2DD3"/>
    <w:rsid w:val="00CB7170"/>
    <w:rsid w:val="00CC040E"/>
    <w:rsid w:val="00CC08CA"/>
    <w:rsid w:val="00CC111F"/>
    <w:rsid w:val="00CC2011"/>
    <w:rsid w:val="00CC2660"/>
    <w:rsid w:val="00CC2CD5"/>
    <w:rsid w:val="00CC3EA0"/>
    <w:rsid w:val="00CC7B45"/>
    <w:rsid w:val="00CC7FCB"/>
    <w:rsid w:val="00CD1188"/>
    <w:rsid w:val="00CD2485"/>
    <w:rsid w:val="00CD2ED1"/>
    <w:rsid w:val="00CD337B"/>
    <w:rsid w:val="00CD52F9"/>
    <w:rsid w:val="00CD5CC1"/>
    <w:rsid w:val="00CD5D21"/>
    <w:rsid w:val="00CD68C2"/>
    <w:rsid w:val="00CD73AE"/>
    <w:rsid w:val="00CE0424"/>
    <w:rsid w:val="00CE21F6"/>
    <w:rsid w:val="00CE426E"/>
    <w:rsid w:val="00CE4843"/>
    <w:rsid w:val="00CE4A19"/>
    <w:rsid w:val="00CE5580"/>
    <w:rsid w:val="00CE574B"/>
    <w:rsid w:val="00CE7561"/>
    <w:rsid w:val="00CE7657"/>
    <w:rsid w:val="00CF1354"/>
    <w:rsid w:val="00CF1FA6"/>
    <w:rsid w:val="00CF2CE2"/>
    <w:rsid w:val="00CF3B1F"/>
    <w:rsid w:val="00CF3BF6"/>
    <w:rsid w:val="00CF5C4E"/>
    <w:rsid w:val="00CF625B"/>
    <w:rsid w:val="00CF6341"/>
    <w:rsid w:val="00CF687E"/>
    <w:rsid w:val="00D00A6E"/>
    <w:rsid w:val="00D00CDF"/>
    <w:rsid w:val="00D02014"/>
    <w:rsid w:val="00D0349B"/>
    <w:rsid w:val="00D04434"/>
    <w:rsid w:val="00D06645"/>
    <w:rsid w:val="00D07C12"/>
    <w:rsid w:val="00D10249"/>
    <w:rsid w:val="00D10C29"/>
    <w:rsid w:val="00D115C3"/>
    <w:rsid w:val="00D11897"/>
    <w:rsid w:val="00D11A21"/>
    <w:rsid w:val="00D12757"/>
    <w:rsid w:val="00D13135"/>
    <w:rsid w:val="00D13E4E"/>
    <w:rsid w:val="00D142BC"/>
    <w:rsid w:val="00D22FE6"/>
    <w:rsid w:val="00D239A7"/>
    <w:rsid w:val="00D23F47"/>
    <w:rsid w:val="00D2672B"/>
    <w:rsid w:val="00D3005B"/>
    <w:rsid w:val="00D30297"/>
    <w:rsid w:val="00D31227"/>
    <w:rsid w:val="00D31C65"/>
    <w:rsid w:val="00D33E03"/>
    <w:rsid w:val="00D349C5"/>
    <w:rsid w:val="00D350F3"/>
    <w:rsid w:val="00D36E71"/>
    <w:rsid w:val="00D37D87"/>
    <w:rsid w:val="00D40B33"/>
    <w:rsid w:val="00D416A4"/>
    <w:rsid w:val="00D41C1C"/>
    <w:rsid w:val="00D42505"/>
    <w:rsid w:val="00D4318F"/>
    <w:rsid w:val="00D43646"/>
    <w:rsid w:val="00D438BF"/>
    <w:rsid w:val="00D440F8"/>
    <w:rsid w:val="00D53400"/>
    <w:rsid w:val="00D538CD"/>
    <w:rsid w:val="00D546FF"/>
    <w:rsid w:val="00D55AD5"/>
    <w:rsid w:val="00D5641C"/>
    <w:rsid w:val="00D573DB"/>
    <w:rsid w:val="00D576CA"/>
    <w:rsid w:val="00D57AEA"/>
    <w:rsid w:val="00D60E13"/>
    <w:rsid w:val="00D61AF5"/>
    <w:rsid w:val="00D625D4"/>
    <w:rsid w:val="00D62ADC"/>
    <w:rsid w:val="00D62CD5"/>
    <w:rsid w:val="00D6435F"/>
    <w:rsid w:val="00D652B5"/>
    <w:rsid w:val="00D66155"/>
    <w:rsid w:val="00D66D2D"/>
    <w:rsid w:val="00D708B0"/>
    <w:rsid w:val="00D71A4E"/>
    <w:rsid w:val="00D755CC"/>
    <w:rsid w:val="00D75B4F"/>
    <w:rsid w:val="00D765FA"/>
    <w:rsid w:val="00D77B1D"/>
    <w:rsid w:val="00D8021F"/>
    <w:rsid w:val="00D80383"/>
    <w:rsid w:val="00D81633"/>
    <w:rsid w:val="00D81E16"/>
    <w:rsid w:val="00D823C6"/>
    <w:rsid w:val="00D8386B"/>
    <w:rsid w:val="00D85B16"/>
    <w:rsid w:val="00D86CA3"/>
    <w:rsid w:val="00D87049"/>
    <w:rsid w:val="00D871CE"/>
    <w:rsid w:val="00D87270"/>
    <w:rsid w:val="00D9031D"/>
    <w:rsid w:val="00D9196D"/>
    <w:rsid w:val="00D9253C"/>
    <w:rsid w:val="00D92982"/>
    <w:rsid w:val="00D94243"/>
    <w:rsid w:val="00D97786"/>
    <w:rsid w:val="00DA0326"/>
    <w:rsid w:val="00DA1F6E"/>
    <w:rsid w:val="00DA305E"/>
    <w:rsid w:val="00DA5007"/>
    <w:rsid w:val="00DA5417"/>
    <w:rsid w:val="00DA56E8"/>
    <w:rsid w:val="00DB0534"/>
    <w:rsid w:val="00DB0A9F"/>
    <w:rsid w:val="00DB12CA"/>
    <w:rsid w:val="00DB1E0D"/>
    <w:rsid w:val="00DB21CF"/>
    <w:rsid w:val="00DB377D"/>
    <w:rsid w:val="00DC062C"/>
    <w:rsid w:val="00DC0B71"/>
    <w:rsid w:val="00DC24A1"/>
    <w:rsid w:val="00DC2D36"/>
    <w:rsid w:val="00DC4E15"/>
    <w:rsid w:val="00DC53EF"/>
    <w:rsid w:val="00DC58F7"/>
    <w:rsid w:val="00DD31FD"/>
    <w:rsid w:val="00DD4774"/>
    <w:rsid w:val="00DD6523"/>
    <w:rsid w:val="00DD7CBB"/>
    <w:rsid w:val="00DE2813"/>
    <w:rsid w:val="00DE31A8"/>
    <w:rsid w:val="00DE5608"/>
    <w:rsid w:val="00DE58D0"/>
    <w:rsid w:val="00DE5FFC"/>
    <w:rsid w:val="00DE654F"/>
    <w:rsid w:val="00DE6E02"/>
    <w:rsid w:val="00DE70F6"/>
    <w:rsid w:val="00DF0B6E"/>
    <w:rsid w:val="00DF15E0"/>
    <w:rsid w:val="00DF2875"/>
    <w:rsid w:val="00DF37A0"/>
    <w:rsid w:val="00DF5922"/>
    <w:rsid w:val="00DF5DA5"/>
    <w:rsid w:val="00DF76D2"/>
    <w:rsid w:val="00DF7BF9"/>
    <w:rsid w:val="00E00B70"/>
    <w:rsid w:val="00E00FD5"/>
    <w:rsid w:val="00E0431A"/>
    <w:rsid w:val="00E044D6"/>
    <w:rsid w:val="00E05483"/>
    <w:rsid w:val="00E110E7"/>
    <w:rsid w:val="00E114C3"/>
    <w:rsid w:val="00E11B20"/>
    <w:rsid w:val="00E12D5A"/>
    <w:rsid w:val="00E1399F"/>
    <w:rsid w:val="00E15B5E"/>
    <w:rsid w:val="00E17FA2"/>
    <w:rsid w:val="00E203F9"/>
    <w:rsid w:val="00E20ADA"/>
    <w:rsid w:val="00E21F7F"/>
    <w:rsid w:val="00E22330"/>
    <w:rsid w:val="00E22E43"/>
    <w:rsid w:val="00E23150"/>
    <w:rsid w:val="00E244B5"/>
    <w:rsid w:val="00E25B19"/>
    <w:rsid w:val="00E2778A"/>
    <w:rsid w:val="00E27832"/>
    <w:rsid w:val="00E30675"/>
    <w:rsid w:val="00E30B5A"/>
    <w:rsid w:val="00E3123D"/>
    <w:rsid w:val="00E31461"/>
    <w:rsid w:val="00E31889"/>
    <w:rsid w:val="00E31D43"/>
    <w:rsid w:val="00E32608"/>
    <w:rsid w:val="00E337E6"/>
    <w:rsid w:val="00E34188"/>
    <w:rsid w:val="00E345CD"/>
    <w:rsid w:val="00E34B6E"/>
    <w:rsid w:val="00E35559"/>
    <w:rsid w:val="00E36B77"/>
    <w:rsid w:val="00E3723A"/>
    <w:rsid w:val="00E37860"/>
    <w:rsid w:val="00E42837"/>
    <w:rsid w:val="00E435D0"/>
    <w:rsid w:val="00E446F1"/>
    <w:rsid w:val="00E46886"/>
    <w:rsid w:val="00E47AEF"/>
    <w:rsid w:val="00E50758"/>
    <w:rsid w:val="00E53314"/>
    <w:rsid w:val="00E534AC"/>
    <w:rsid w:val="00E53B75"/>
    <w:rsid w:val="00E54B55"/>
    <w:rsid w:val="00E54C99"/>
    <w:rsid w:val="00E54D7D"/>
    <w:rsid w:val="00E54E3B"/>
    <w:rsid w:val="00E553FB"/>
    <w:rsid w:val="00E57565"/>
    <w:rsid w:val="00E575D1"/>
    <w:rsid w:val="00E612D5"/>
    <w:rsid w:val="00E628B9"/>
    <w:rsid w:val="00E63838"/>
    <w:rsid w:val="00E64434"/>
    <w:rsid w:val="00E64FAB"/>
    <w:rsid w:val="00E652B8"/>
    <w:rsid w:val="00E65346"/>
    <w:rsid w:val="00E66EA2"/>
    <w:rsid w:val="00E67127"/>
    <w:rsid w:val="00E67AF8"/>
    <w:rsid w:val="00E67C51"/>
    <w:rsid w:val="00E70679"/>
    <w:rsid w:val="00E7169E"/>
    <w:rsid w:val="00E71AA1"/>
    <w:rsid w:val="00E729BB"/>
    <w:rsid w:val="00E72EFC"/>
    <w:rsid w:val="00E74883"/>
    <w:rsid w:val="00E758EC"/>
    <w:rsid w:val="00E80307"/>
    <w:rsid w:val="00E80EB7"/>
    <w:rsid w:val="00E8234C"/>
    <w:rsid w:val="00E825C9"/>
    <w:rsid w:val="00E83AA9"/>
    <w:rsid w:val="00E85639"/>
    <w:rsid w:val="00E85928"/>
    <w:rsid w:val="00E86AAF"/>
    <w:rsid w:val="00E87822"/>
    <w:rsid w:val="00E90395"/>
    <w:rsid w:val="00E90E49"/>
    <w:rsid w:val="00E917F9"/>
    <w:rsid w:val="00E9291C"/>
    <w:rsid w:val="00E93FFE"/>
    <w:rsid w:val="00E94F8A"/>
    <w:rsid w:val="00E9561F"/>
    <w:rsid w:val="00EA09CF"/>
    <w:rsid w:val="00EA0DC4"/>
    <w:rsid w:val="00EA32D7"/>
    <w:rsid w:val="00EA3C71"/>
    <w:rsid w:val="00EA3FF5"/>
    <w:rsid w:val="00EA53C7"/>
    <w:rsid w:val="00EA5E0E"/>
    <w:rsid w:val="00EA5FF9"/>
    <w:rsid w:val="00EA7A41"/>
    <w:rsid w:val="00EA7BF8"/>
    <w:rsid w:val="00EB077B"/>
    <w:rsid w:val="00EB143F"/>
    <w:rsid w:val="00EB23A6"/>
    <w:rsid w:val="00EB4196"/>
    <w:rsid w:val="00EB4EA2"/>
    <w:rsid w:val="00EB501F"/>
    <w:rsid w:val="00EB52A3"/>
    <w:rsid w:val="00EB5D9C"/>
    <w:rsid w:val="00EB70B3"/>
    <w:rsid w:val="00EC27C6"/>
    <w:rsid w:val="00EC2CF7"/>
    <w:rsid w:val="00EC4207"/>
    <w:rsid w:val="00EC5653"/>
    <w:rsid w:val="00EC60B5"/>
    <w:rsid w:val="00EC71CE"/>
    <w:rsid w:val="00EC7A47"/>
    <w:rsid w:val="00ED1006"/>
    <w:rsid w:val="00ED1D68"/>
    <w:rsid w:val="00ED5950"/>
    <w:rsid w:val="00EE01E5"/>
    <w:rsid w:val="00EE1FB1"/>
    <w:rsid w:val="00EE2D55"/>
    <w:rsid w:val="00EE6825"/>
    <w:rsid w:val="00EF18FE"/>
    <w:rsid w:val="00EF5787"/>
    <w:rsid w:val="00EF60D0"/>
    <w:rsid w:val="00EF6CB7"/>
    <w:rsid w:val="00F02BC2"/>
    <w:rsid w:val="00F03D5E"/>
    <w:rsid w:val="00F0528D"/>
    <w:rsid w:val="00F05CB8"/>
    <w:rsid w:val="00F06850"/>
    <w:rsid w:val="00F06C67"/>
    <w:rsid w:val="00F06DFD"/>
    <w:rsid w:val="00F071D1"/>
    <w:rsid w:val="00F074F8"/>
    <w:rsid w:val="00F07533"/>
    <w:rsid w:val="00F10276"/>
    <w:rsid w:val="00F10629"/>
    <w:rsid w:val="00F11000"/>
    <w:rsid w:val="00F12182"/>
    <w:rsid w:val="00F1483C"/>
    <w:rsid w:val="00F15037"/>
    <w:rsid w:val="00F15385"/>
    <w:rsid w:val="00F159D3"/>
    <w:rsid w:val="00F15FA5"/>
    <w:rsid w:val="00F209B7"/>
    <w:rsid w:val="00F228F9"/>
    <w:rsid w:val="00F2376F"/>
    <w:rsid w:val="00F243D8"/>
    <w:rsid w:val="00F25B0E"/>
    <w:rsid w:val="00F26B6B"/>
    <w:rsid w:val="00F27FC5"/>
    <w:rsid w:val="00F30828"/>
    <w:rsid w:val="00F312AC"/>
    <w:rsid w:val="00F313D6"/>
    <w:rsid w:val="00F3231D"/>
    <w:rsid w:val="00F32D77"/>
    <w:rsid w:val="00F337B3"/>
    <w:rsid w:val="00F34213"/>
    <w:rsid w:val="00F40F0C"/>
    <w:rsid w:val="00F44042"/>
    <w:rsid w:val="00F46070"/>
    <w:rsid w:val="00F4766C"/>
    <w:rsid w:val="00F507D1"/>
    <w:rsid w:val="00F519CE"/>
    <w:rsid w:val="00F51ADA"/>
    <w:rsid w:val="00F607C5"/>
    <w:rsid w:val="00F60DEA"/>
    <w:rsid w:val="00F6259B"/>
    <w:rsid w:val="00F6302A"/>
    <w:rsid w:val="00F6411A"/>
    <w:rsid w:val="00F64C2B"/>
    <w:rsid w:val="00F651BE"/>
    <w:rsid w:val="00F660C1"/>
    <w:rsid w:val="00F67F53"/>
    <w:rsid w:val="00F703BE"/>
    <w:rsid w:val="00F71F69"/>
    <w:rsid w:val="00F72B72"/>
    <w:rsid w:val="00F744D9"/>
    <w:rsid w:val="00F74BB9"/>
    <w:rsid w:val="00F75582"/>
    <w:rsid w:val="00F75A7F"/>
    <w:rsid w:val="00F76327"/>
    <w:rsid w:val="00F76EFA"/>
    <w:rsid w:val="00F804BE"/>
    <w:rsid w:val="00F817CE"/>
    <w:rsid w:val="00F82A13"/>
    <w:rsid w:val="00F83DA8"/>
    <w:rsid w:val="00F841A1"/>
    <w:rsid w:val="00F8456C"/>
    <w:rsid w:val="00F84DB9"/>
    <w:rsid w:val="00F859D8"/>
    <w:rsid w:val="00F868F5"/>
    <w:rsid w:val="00F9056A"/>
    <w:rsid w:val="00F90F8D"/>
    <w:rsid w:val="00F91C9F"/>
    <w:rsid w:val="00F92625"/>
    <w:rsid w:val="00F92782"/>
    <w:rsid w:val="00F93AA9"/>
    <w:rsid w:val="00F93BD6"/>
    <w:rsid w:val="00F96985"/>
    <w:rsid w:val="00F97838"/>
    <w:rsid w:val="00FA220E"/>
    <w:rsid w:val="00FA2BB3"/>
    <w:rsid w:val="00FA37D9"/>
    <w:rsid w:val="00FB07A3"/>
    <w:rsid w:val="00FB08EF"/>
    <w:rsid w:val="00FB1B6E"/>
    <w:rsid w:val="00FB4679"/>
    <w:rsid w:val="00FB4C80"/>
    <w:rsid w:val="00FB639A"/>
    <w:rsid w:val="00FB6A6A"/>
    <w:rsid w:val="00FB73EF"/>
    <w:rsid w:val="00FC220F"/>
    <w:rsid w:val="00FC2FE6"/>
    <w:rsid w:val="00FC364E"/>
    <w:rsid w:val="00FC4487"/>
    <w:rsid w:val="00FC4861"/>
    <w:rsid w:val="00FC4AD0"/>
    <w:rsid w:val="00FC7429"/>
    <w:rsid w:val="00FD07F6"/>
    <w:rsid w:val="00FD0E82"/>
    <w:rsid w:val="00FD1334"/>
    <w:rsid w:val="00FD1EC8"/>
    <w:rsid w:val="00FD2733"/>
    <w:rsid w:val="00FD2F65"/>
    <w:rsid w:val="00FD3B02"/>
    <w:rsid w:val="00FD3EA8"/>
    <w:rsid w:val="00FD3FB3"/>
    <w:rsid w:val="00FD47ED"/>
    <w:rsid w:val="00FD6F6A"/>
    <w:rsid w:val="00FD74DB"/>
    <w:rsid w:val="00FD7660"/>
    <w:rsid w:val="00FE0655"/>
    <w:rsid w:val="00FE1285"/>
    <w:rsid w:val="00FE171C"/>
    <w:rsid w:val="00FE2365"/>
    <w:rsid w:val="00FE4C7B"/>
    <w:rsid w:val="00FE6100"/>
    <w:rsid w:val="00FE7336"/>
    <w:rsid w:val="00FE74C6"/>
    <w:rsid w:val="00FE787C"/>
    <w:rsid w:val="00FF45A5"/>
    <w:rsid w:val="00FF5BB9"/>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03CFCA7"/>
  <w15:docId w15:val="{6A57B27F-FED9-4389-A6A0-2F03CFCB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8507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850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08507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08507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08507C"/>
    <w:pPr>
      <w:numPr>
        <w:ilvl w:val="3"/>
      </w:numPr>
      <w:outlineLvl w:val="3"/>
    </w:pPr>
    <w:rPr>
      <w:sz w:val="24"/>
      <w:szCs w:val="24"/>
    </w:rPr>
  </w:style>
  <w:style w:type="paragraph" w:styleId="Heading5">
    <w:name w:val="heading 5"/>
    <w:basedOn w:val="Heading4"/>
    <w:next w:val="Normal"/>
    <w:qFormat/>
    <w:rsid w:val="0008507C"/>
    <w:pPr>
      <w:numPr>
        <w:ilvl w:val="4"/>
      </w:numPr>
      <w:outlineLvl w:val="4"/>
    </w:pPr>
    <w:rPr>
      <w:sz w:val="22"/>
      <w:szCs w:val="22"/>
    </w:rPr>
  </w:style>
  <w:style w:type="paragraph" w:styleId="Heading6">
    <w:name w:val="heading 6"/>
    <w:basedOn w:val="Normal"/>
    <w:next w:val="Normal"/>
    <w:qFormat/>
    <w:rsid w:val="0008507C"/>
    <w:pPr>
      <w:keepNext/>
      <w:keepLines/>
      <w:numPr>
        <w:ilvl w:val="5"/>
        <w:numId w:val="1"/>
      </w:numPr>
      <w:spacing w:before="120"/>
      <w:outlineLvl w:val="5"/>
    </w:pPr>
    <w:rPr>
      <w:rFonts w:cs="Arial"/>
    </w:rPr>
  </w:style>
  <w:style w:type="paragraph" w:styleId="Heading7">
    <w:name w:val="heading 7"/>
    <w:basedOn w:val="Normal"/>
    <w:next w:val="Normal"/>
    <w:qFormat/>
    <w:rsid w:val="0008507C"/>
    <w:pPr>
      <w:keepNext/>
      <w:keepLines/>
      <w:numPr>
        <w:ilvl w:val="6"/>
        <w:numId w:val="1"/>
      </w:numPr>
      <w:spacing w:before="120"/>
      <w:outlineLvl w:val="6"/>
    </w:pPr>
    <w:rPr>
      <w:rFonts w:cs="Arial"/>
    </w:rPr>
  </w:style>
  <w:style w:type="paragraph" w:styleId="Heading8">
    <w:name w:val="heading 8"/>
    <w:basedOn w:val="Heading7"/>
    <w:next w:val="Normal"/>
    <w:qFormat/>
    <w:rsid w:val="0008507C"/>
    <w:pPr>
      <w:numPr>
        <w:ilvl w:val="7"/>
      </w:numPr>
      <w:outlineLvl w:val="7"/>
    </w:pPr>
  </w:style>
  <w:style w:type="paragraph" w:styleId="Heading9">
    <w:name w:val="heading 9"/>
    <w:basedOn w:val="Heading8"/>
    <w:next w:val="Normal"/>
    <w:qFormat/>
    <w:rsid w:val="000850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507C"/>
    <w:pPr>
      <w:spacing w:before="180"/>
      <w:ind w:left="2693" w:hanging="2693"/>
    </w:pPr>
    <w:rPr>
      <w:b w:val="0"/>
      <w:bCs/>
    </w:rPr>
  </w:style>
  <w:style w:type="paragraph" w:styleId="TOC1">
    <w:name w:val="toc 1"/>
    <w:aliases w:val="Observation TOC2"/>
    <w:uiPriority w:val="39"/>
    <w:rsid w:val="000850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8507C"/>
    <w:pPr>
      <w:keepNext/>
      <w:keepLines/>
      <w:spacing w:before="180"/>
      <w:jc w:val="center"/>
    </w:pPr>
  </w:style>
  <w:style w:type="paragraph" w:styleId="Caption">
    <w:name w:val="caption"/>
    <w:basedOn w:val="Normal"/>
    <w:next w:val="Normal"/>
    <w:qFormat/>
    <w:rsid w:val="0008507C"/>
    <w:pPr>
      <w:spacing w:after="240"/>
      <w:jc w:val="center"/>
    </w:pPr>
    <w:rPr>
      <w:b/>
      <w:bCs/>
    </w:rPr>
  </w:style>
  <w:style w:type="paragraph" w:styleId="TOC5">
    <w:name w:val="toc 5"/>
    <w:aliases w:val="Observation TOC"/>
    <w:basedOn w:val="TOC4"/>
    <w:semiHidden/>
    <w:rsid w:val="0008507C"/>
    <w:pPr>
      <w:tabs>
        <w:tab w:val="right" w:pos="1701"/>
      </w:tabs>
      <w:ind w:left="1701" w:hanging="1701"/>
    </w:pPr>
  </w:style>
  <w:style w:type="paragraph" w:styleId="TOC4">
    <w:name w:val="toc 4"/>
    <w:basedOn w:val="TOC3"/>
    <w:semiHidden/>
    <w:rsid w:val="0008507C"/>
    <w:pPr>
      <w:ind w:left="1418" w:hanging="1418"/>
    </w:pPr>
  </w:style>
  <w:style w:type="paragraph" w:styleId="TOC3">
    <w:name w:val="toc 3"/>
    <w:basedOn w:val="TOC2"/>
    <w:semiHidden/>
    <w:rsid w:val="0008507C"/>
    <w:pPr>
      <w:ind w:left="1134" w:hanging="1134"/>
    </w:pPr>
  </w:style>
  <w:style w:type="paragraph" w:styleId="TOC2">
    <w:name w:val="toc 2"/>
    <w:basedOn w:val="TOC1"/>
    <w:semiHidden/>
    <w:rsid w:val="0008507C"/>
    <w:pPr>
      <w:keepNext w:val="0"/>
      <w:spacing w:before="0"/>
      <w:ind w:left="851" w:hanging="851"/>
    </w:pPr>
    <w:rPr>
      <w:szCs w:val="20"/>
    </w:rPr>
  </w:style>
  <w:style w:type="paragraph" w:styleId="Index2">
    <w:name w:val="index 2"/>
    <w:basedOn w:val="Index1"/>
    <w:semiHidden/>
    <w:rsid w:val="0008507C"/>
    <w:pPr>
      <w:ind w:left="284"/>
    </w:pPr>
  </w:style>
  <w:style w:type="paragraph" w:styleId="Index1">
    <w:name w:val="index 1"/>
    <w:basedOn w:val="Normal"/>
    <w:semiHidden/>
    <w:rsid w:val="0008507C"/>
    <w:pPr>
      <w:keepLines/>
      <w:spacing w:after="0"/>
    </w:pPr>
  </w:style>
  <w:style w:type="paragraph" w:styleId="DocumentMap">
    <w:name w:val="Document Map"/>
    <w:basedOn w:val="Normal"/>
    <w:semiHidden/>
    <w:rsid w:val="0008507C"/>
    <w:pPr>
      <w:shd w:val="clear" w:color="auto" w:fill="000080"/>
    </w:pPr>
    <w:rPr>
      <w:rFonts w:ascii="Tahoma" w:hAnsi="Tahoma" w:cs="Tahoma"/>
    </w:rPr>
  </w:style>
  <w:style w:type="paragraph" w:styleId="ListNumber2">
    <w:name w:val="List Number 2"/>
    <w:basedOn w:val="ListNumber"/>
    <w:rsid w:val="0008507C"/>
    <w:pPr>
      <w:ind w:left="851"/>
    </w:pPr>
  </w:style>
  <w:style w:type="paragraph" w:styleId="ListNumber">
    <w:name w:val="List Number"/>
    <w:basedOn w:val="List"/>
    <w:rsid w:val="0008507C"/>
  </w:style>
  <w:style w:type="paragraph" w:styleId="List">
    <w:name w:val="List"/>
    <w:basedOn w:val="Normal"/>
    <w:rsid w:val="0008507C"/>
    <w:pPr>
      <w:ind w:left="568" w:hanging="284"/>
    </w:pPr>
  </w:style>
  <w:style w:type="paragraph" w:styleId="Header">
    <w:name w:val="header"/>
    <w:rsid w:val="0008507C"/>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8507C"/>
    <w:rPr>
      <w:b/>
      <w:bCs/>
      <w:position w:val="6"/>
      <w:sz w:val="16"/>
      <w:szCs w:val="16"/>
    </w:rPr>
  </w:style>
  <w:style w:type="paragraph" w:styleId="FootnoteText">
    <w:name w:val="footnote text"/>
    <w:basedOn w:val="Normal"/>
    <w:semiHidden/>
    <w:rsid w:val="0008507C"/>
    <w:pPr>
      <w:keepLines/>
      <w:spacing w:after="0"/>
      <w:ind w:left="454" w:hanging="454"/>
    </w:pPr>
    <w:rPr>
      <w:sz w:val="16"/>
      <w:szCs w:val="16"/>
    </w:rPr>
  </w:style>
  <w:style w:type="paragraph" w:customStyle="1" w:styleId="3GPPHeader">
    <w:name w:val="3GPP_Header"/>
    <w:basedOn w:val="Normal"/>
    <w:rsid w:val="0008507C"/>
    <w:pPr>
      <w:tabs>
        <w:tab w:val="left" w:pos="1701"/>
        <w:tab w:val="right" w:pos="9639"/>
      </w:tabs>
      <w:spacing w:after="240"/>
    </w:pPr>
    <w:rPr>
      <w:b/>
      <w:sz w:val="24"/>
    </w:rPr>
  </w:style>
  <w:style w:type="paragraph" w:styleId="TOC9">
    <w:name w:val="toc 9"/>
    <w:basedOn w:val="TOC8"/>
    <w:semiHidden/>
    <w:rsid w:val="0008507C"/>
    <w:pPr>
      <w:ind w:left="1418" w:hanging="1418"/>
    </w:pPr>
  </w:style>
  <w:style w:type="paragraph" w:styleId="TOC6">
    <w:name w:val="toc 6"/>
    <w:basedOn w:val="TOC5"/>
    <w:next w:val="Normal"/>
    <w:semiHidden/>
    <w:rsid w:val="0008507C"/>
    <w:pPr>
      <w:ind w:left="1985" w:hanging="1985"/>
    </w:pPr>
  </w:style>
  <w:style w:type="paragraph" w:styleId="TOC7">
    <w:name w:val="toc 7"/>
    <w:basedOn w:val="TOC6"/>
    <w:next w:val="Normal"/>
    <w:semiHidden/>
    <w:rsid w:val="0008507C"/>
    <w:pPr>
      <w:ind w:left="2268" w:hanging="2268"/>
    </w:pPr>
  </w:style>
  <w:style w:type="paragraph" w:styleId="ListBullet2">
    <w:name w:val="List Bullet 2"/>
    <w:basedOn w:val="ListBullet"/>
    <w:rsid w:val="0008507C"/>
    <w:pPr>
      <w:numPr>
        <w:numId w:val="6"/>
      </w:numPr>
    </w:pPr>
  </w:style>
  <w:style w:type="paragraph" w:styleId="ListBullet">
    <w:name w:val="List Bullet"/>
    <w:basedOn w:val="BodyText"/>
    <w:rsid w:val="0008507C"/>
    <w:pPr>
      <w:numPr>
        <w:numId w:val="5"/>
      </w:numPr>
    </w:pPr>
  </w:style>
  <w:style w:type="paragraph" w:styleId="ListBullet3">
    <w:name w:val="List Bullet 3"/>
    <w:basedOn w:val="ListBullet2"/>
    <w:rsid w:val="0008507C"/>
    <w:pPr>
      <w:numPr>
        <w:numId w:val="7"/>
      </w:numPr>
    </w:pPr>
  </w:style>
  <w:style w:type="paragraph" w:customStyle="1" w:styleId="EQ">
    <w:name w:val="EQ"/>
    <w:basedOn w:val="Normal"/>
    <w:next w:val="Normal"/>
    <w:rsid w:val="0008507C"/>
    <w:pPr>
      <w:keepLines/>
      <w:tabs>
        <w:tab w:val="center" w:pos="4536"/>
        <w:tab w:val="right" w:pos="9072"/>
      </w:tabs>
      <w:spacing w:after="180"/>
      <w:jc w:val="left"/>
    </w:pPr>
    <w:rPr>
      <w:noProof/>
      <w:lang w:eastAsia="en-US"/>
    </w:rPr>
  </w:style>
  <w:style w:type="paragraph" w:styleId="List2">
    <w:name w:val="List 2"/>
    <w:basedOn w:val="List"/>
    <w:rsid w:val="0008507C"/>
    <w:pPr>
      <w:ind w:left="851"/>
    </w:pPr>
  </w:style>
  <w:style w:type="paragraph" w:styleId="List3">
    <w:name w:val="List 3"/>
    <w:basedOn w:val="List2"/>
    <w:rsid w:val="0008507C"/>
    <w:pPr>
      <w:ind w:left="1135"/>
    </w:pPr>
  </w:style>
  <w:style w:type="paragraph" w:styleId="List4">
    <w:name w:val="List 4"/>
    <w:basedOn w:val="List3"/>
    <w:rsid w:val="0008507C"/>
    <w:pPr>
      <w:ind w:left="1418"/>
    </w:pPr>
  </w:style>
  <w:style w:type="paragraph" w:styleId="List5">
    <w:name w:val="List 5"/>
    <w:basedOn w:val="List4"/>
    <w:rsid w:val="0008507C"/>
    <w:pPr>
      <w:ind w:left="1702"/>
    </w:pPr>
  </w:style>
  <w:style w:type="paragraph" w:customStyle="1" w:styleId="EditorsNote">
    <w:name w:val="Editor's Note"/>
    <w:basedOn w:val="Normal"/>
    <w:rsid w:val="0008507C"/>
    <w:pPr>
      <w:keepLines/>
      <w:spacing w:after="180"/>
      <w:ind w:left="1135" w:hanging="851"/>
      <w:jc w:val="left"/>
    </w:pPr>
    <w:rPr>
      <w:color w:val="FF0000"/>
      <w:lang w:eastAsia="en-US"/>
    </w:rPr>
  </w:style>
  <w:style w:type="paragraph" w:styleId="ListBullet4">
    <w:name w:val="List Bullet 4"/>
    <w:basedOn w:val="ListBullet3"/>
    <w:rsid w:val="0008507C"/>
    <w:pPr>
      <w:numPr>
        <w:numId w:val="8"/>
      </w:numPr>
    </w:pPr>
  </w:style>
  <w:style w:type="paragraph" w:styleId="ListBullet5">
    <w:name w:val="List Bullet 5"/>
    <w:basedOn w:val="ListBullet4"/>
    <w:rsid w:val="0008507C"/>
    <w:pPr>
      <w:numPr>
        <w:numId w:val="4"/>
      </w:numPr>
    </w:pPr>
  </w:style>
  <w:style w:type="paragraph" w:styleId="Footer">
    <w:name w:val="footer"/>
    <w:basedOn w:val="Header"/>
    <w:semiHidden/>
    <w:rsid w:val="0008507C"/>
    <w:pPr>
      <w:jc w:val="center"/>
    </w:pPr>
    <w:rPr>
      <w:i/>
      <w:iCs/>
    </w:rPr>
  </w:style>
  <w:style w:type="paragraph" w:customStyle="1" w:styleId="Reference">
    <w:name w:val="Reference"/>
    <w:basedOn w:val="Normal"/>
    <w:rsid w:val="0008507C"/>
    <w:pPr>
      <w:numPr>
        <w:numId w:val="2"/>
      </w:numPr>
    </w:pPr>
  </w:style>
  <w:style w:type="paragraph" w:styleId="BalloonText">
    <w:name w:val="Balloon Text"/>
    <w:basedOn w:val="Normal"/>
    <w:semiHidden/>
    <w:rsid w:val="0008507C"/>
    <w:rPr>
      <w:rFonts w:ascii="Tahoma" w:hAnsi="Tahoma" w:cs="Tahoma"/>
      <w:sz w:val="16"/>
      <w:szCs w:val="16"/>
    </w:rPr>
  </w:style>
  <w:style w:type="character" w:styleId="PageNumber">
    <w:name w:val="page number"/>
    <w:basedOn w:val="DefaultParagraphFont"/>
    <w:semiHidden/>
    <w:rsid w:val="0008507C"/>
  </w:style>
  <w:style w:type="paragraph" w:styleId="BodyText">
    <w:name w:val="Body Text"/>
    <w:basedOn w:val="Normal"/>
    <w:link w:val="BodyTextChar"/>
    <w:rsid w:val="0008507C"/>
  </w:style>
  <w:style w:type="character" w:styleId="Hyperlink">
    <w:name w:val="Hyperlink"/>
    <w:uiPriority w:val="99"/>
    <w:rsid w:val="0008507C"/>
    <w:rPr>
      <w:color w:val="0000FF"/>
      <w:u w:val="single"/>
      <w:lang w:val="en-GB"/>
    </w:rPr>
  </w:style>
  <w:style w:type="character" w:styleId="FollowedHyperlink">
    <w:name w:val="FollowedHyperlink"/>
    <w:semiHidden/>
    <w:rsid w:val="0008507C"/>
    <w:rPr>
      <w:color w:val="FF0000"/>
      <w:u w:val="single"/>
    </w:rPr>
  </w:style>
  <w:style w:type="character" w:styleId="CommentReference">
    <w:name w:val="annotation reference"/>
    <w:semiHidden/>
    <w:rsid w:val="0008507C"/>
    <w:rPr>
      <w:sz w:val="16"/>
      <w:szCs w:val="16"/>
    </w:rPr>
  </w:style>
  <w:style w:type="paragraph" w:styleId="CommentText">
    <w:name w:val="annotation text"/>
    <w:basedOn w:val="Normal"/>
    <w:link w:val="CommentTextChar"/>
    <w:semiHidden/>
    <w:rsid w:val="0008507C"/>
  </w:style>
  <w:style w:type="paragraph" w:styleId="CommentSubject">
    <w:name w:val="annotation subject"/>
    <w:basedOn w:val="CommentText"/>
    <w:next w:val="CommentText"/>
    <w:semiHidden/>
    <w:rsid w:val="0008507C"/>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8507C"/>
    <w:rPr>
      <w:rFonts w:ascii="Arial" w:hAnsi="Arial" w:cs="Arial"/>
      <w:sz w:val="36"/>
      <w:szCs w:val="36"/>
      <w:lang w:val="en-GB" w:eastAsia="zh-CN"/>
    </w:rPr>
  </w:style>
  <w:style w:type="paragraph" w:customStyle="1" w:styleId="B1">
    <w:name w:val="B1"/>
    <w:basedOn w:val="List"/>
    <w:link w:val="B1Char"/>
    <w:rsid w:val="0008507C"/>
    <w:pPr>
      <w:spacing w:after="180"/>
      <w:jc w:val="left"/>
    </w:pPr>
    <w:rPr>
      <w:lang w:eastAsia="en-US"/>
    </w:rPr>
  </w:style>
  <w:style w:type="paragraph" w:customStyle="1" w:styleId="B2">
    <w:name w:val="B2"/>
    <w:basedOn w:val="List2"/>
    <w:link w:val="B2Car"/>
    <w:rsid w:val="0008507C"/>
    <w:pPr>
      <w:spacing w:after="180"/>
      <w:jc w:val="left"/>
    </w:pPr>
    <w:rPr>
      <w:lang w:eastAsia="en-US"/>
    </w:rPr>
  </w:style>
  <w:style w:type="paragraph" w:customStyle="1" w:styleId="B3">
    <w:name w:val="B3"/>
    <w:basedOn w:val="List3"/>
    <w:rsid w:val="0008507C"/>
    <w:pPr>
      <w:spacing w:after="180"/>
      <w:jc w:val="left"/>
    </w:pPr>
    <w:rPr>
      <w:lang w:eastAsia="en-US"/>
    </w:rPr>
  </w:style>
  <w:style w:type="paragraph" w:customStyle="1" w:styleId="B4">
    <w:name w:val="B4"/>
    <w:basedOn w:val="List4"/>
    <w:rsid w:val="0008507C"/>
    <w:pPr>
      <w:spacing w:after="180"/>
      <w:jc w:val="left"/>
    </w:pPr>
    <w:rPr>
      <w:lang w:eastAsia="en-US"/>
    </w:rPr>
  </w:style>
  <w:style w:type="paragraph" w:customStyle="1" w:styleId="Proposal">
    <w:name w:val="Proposal"/>
    <w:basedOn w:val="Normal"/>
    <w:rsid w:val="0008507C"/>
    <w:pPr>
      <w:numPr>
        <w:numId w:val="3"/>
      </w:numPr>
      <w:tabs>
        <w:tab w:val="clear" w:pos="1304"/>
        <w:tab w:val="left" w:pos="1701"/>
      </w:tabs>
      <w:ind w:left="1701" w:hanging="1701"/>
    </w:pPr>
    <w:rPr>
      <w:b/>
      <w:bCs/>
    </w:rPr>
  </w:style>
  <w:style w:type="character" w:customStyle="1" w:styleId="BodyTextChar">
    <w:name w:val="Body Text Char"/>
    <w:link w:val="BodyText"/>
    <w:rsid w:val="0008507C"/>
    <w:rPr>
      <w:rFonts w:ascii="Arial" w:hAnsi="Arial"/>
      <w:lang w:val="en-GB" w:eastAsia="zh-CN"/>
    </w:rPr>
  </w:style>
  <w:style w:type="paragraph" w:customStyle="1" w:styleId="B5">
    <w:name w:val="B5"/>
    <w:basedOn w:val="List5"/>
    <w:rsid w:val="0008507C"/>
    <w:pPr>
      <w:spacing w:after="180"/>
      <w:jc w:val="left"/>
    </w:pPr>
    <w:rPr>
      <w:lang w:eastAsia="en-US"/>
    </w:rPr>
  </w:style>
  <w:style w:type="paragraph" w:customStyle="1" w:styleId="EX">
    <w:name w:val="EX"/>
    <w:basedOn w:val="Normal"/>
    <w:rsid w:val="0008507C"/>
    <w:pPr>
      <w:keepLines/>
      <w:spacing w:after="180"/>
      <w:ind w:left="1702" w:hanging="1418"/>
      <w:jc w:val="left"/>
    </w:pPr>
    <w:rPr>
      <w:lang w:eastAsia="en-US"/>
    </w:rPr>
  </w:style>
  <w:style w:type="paragraph" w:customStyle="1" w:styleId="EW">
    <w:name w:val="EW"/>
    <w:basedOn w:val="EX"/>
    <w:rsid w:val="0008507C"/>
    <w:pPr>
      <w:spacing w:after="0"/>
    </w:pPr>
  </w:style>
  <w:style w:type="paragraph" w:customStyle="1" w:styleId="TAL">
    <w:name w:val="TAL"/>
    <w:basedOn w:val="Normal"/>
    <w:rsid w:val="0008507C"/>
    <w:pPr>
      <w:keepNext/>
      <w:keepLines/>
      <w:spacing w:after="0"/>
      <w:jc w:val="left"/>
    </w:pPr>
    <w:rPr>
      <w:sz w:val="18"/>
      <w:lang w:eastAsia="en-US"/>
    </w:rPr>
  </w:style>
  <w:style w:type="paragraph" w:customStyle="1" w:styleId="TAC">
    <w:name w:val="TAC"/>
    <w:basedOn w:val="TAL"/>
    <w:rsid w:val="0008507C"/>
    <w:pPr>
      <w:jc w:val="center"/>
    </w:pPr>
  </w:style>
  <w:style w:type="paragraph" w:customStyle="1" w:styleId="TAH">
    <w:name w:val="TAH"/>
    <w:basedOn w:val="TAC"/>
    <w:rsid w:val="0008507C"/>
    <w:rPr>
      <w:b/>
    </w:rPr>
  </w:style>
  <w:style w:type="paragraph" w:customStyle="1" w:styleId="TAN">
    <w:name w:val="TAN"/>
    <w:basedOn w:val="TAL"/>
    <w:rsid w:val="0008507C"/>
    <w:pPr>
      <w:ind w:left="851" w:hanging="851"/>
    </w:pPr>
  </w:style>
  <w:style w:type="paragraph" w:customStyle="1" w:styleId="TAR">
    <w:name w:val="TAR"/>
    <w:basedOn w:val="TAL"/>
    <w:rsid w:val="0008507C"/>
    <w:pPr>
      <w:jc w:val="right"/>
    </w:pPr>
  </w:style>
  <w:style w:type="paragraph" w:customStyle="1" w:styleId="TH">
    <w:name w:val="TH"/>
    <w:basedOn w:val="Normal"/>
    <w:rsid w:val="0008507C"/>
    <w:pPr>
      <w:keepNext/>
      <w:keepLines/>
      <w:spacing w:before="60" w:after="180"/>
      <w:jc w:val="center"/>
    </w:pPr>
    <w:rPr>
      <w:b/>
      <w:lang w:eastAsia="en-US"/>
    </w:rPr>
  </w:style>
  <w:style w:type="paragraph" w:customStyle="1" w:styleId="TF">
    <w:name w:val="TF"/>
    <w:basedOn w:val="TH"/>
    <w:rsid w:val="0008507C"/>
    <w:pPr>
      <w:keepNext w:val="0"/>
      <w:spacing w:before="0" w:after="240"/>
    </w:pPr>
  </w:style>
  <w:style w:type="paragraph" w:customStyle="1" w:styleId="TT">
    <w:name w:val="TT"/>
    <w:basedOn w:val="Heading1"/>
    <w:next w:val="Normal"/>
    <w:rsid w:val="0008507C"/>
    <w:pPr>
      <w:numPr>
        <w:numId w:val="0"/>
      </w:numPr>
      <w:ind w:left="1134" w:hanging="1134"/>
      <w:outlineLvl w:val="9"/>
    </w:pPr>
    <w:rPr>
      <w:rFonts w:cs="Times New Roman"/>
      <w:szCs w:val="20"/>
      <w:lang w:eastAsia="en-US"/>
    </w:rPr>
  </w:style>
  <w:style w:type="paragraph" w:customStyle="1" w:styleId="ZA">
    <w:name w:val="ZA"/>
    <w:rsid w:val="00085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85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850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850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8507C"/>
  </w:style>
  <w:style w:type="paragraph" w:customStyle="1" w:styleId="ZH">
    <w:name w:val="ZH"/>
    <w:rsid w:val="000850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850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507C"/>
    <w:pPr>
      <w:framePr w:hRule="auto" w:wrap="notBeside" w:y="852"/>
    </w:pPr>
    <w:rPr>
      <w:i w:val="0"/>
      <w:sz w:val="40"/>
    </w:rPr>
  </w:style>
  <w:style w:type="paragraph" w:customStyle="1" w:styleId="ZU">
    <w:name w:val="ZU"/>
    <w:rsid w:val="00085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8507C"/>
    <w:pPr>
      <w:framePr w:wrap="notBeside" w:y="16161"/>
    </w:pPr>
  </w:style>
  <w:style w:type="paragraph" w:customStyle="1" w:styleId="FP">
    <w:name w:val="FP"/>
    <w:basedOn w:val="Normal"/>
    <w:rsid w:val="0008507C"/>
    <w:pPr>
      <w:spacing w:after="0"/>
      <w:jc w:val="left"/>
    </w:pPr>
    <w:rPr>
      <w:lang w:eastAsia="en-US"/>
    </w:rPr>
  </w:style>
  <w:style w:type="paragraph" w:customStyle="1" w:styleId="Observation">
    <w:name w:val="Observation"/>
    <w:basedOn w:val="Proposal"/>
    <w:qFormat/>
    <w:rsid w:val="0008507C"/>
    <w:pPr>
      <w:numPr>
        <w:numId w:val="13"/>
      </w:numPr>
      <w:ind w:left="1701" w:hanging="1701"/>
    </w:pPr>
  </w:style>
  <w:style w:type="paragraph" w:styleId="TableofFigures">
    <w:name w:val="table of figures"/>
    <w:basedOn w:val="Normal"/>
    <w:next w:val="Normal"/>
    <w:uiPriority w:val="99"/>
    <w:rsid w:val="0008507C"/>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styleId="Emphasis">
    <w:name w:val="Emphasis"/>
    <w:basedOn w:val="DefaultParagraphFont"/>
    <w:uiPriority w:val="20"/>
    <w:qFormat/>
    <w:rsid w:val="00A555C7"/>
    <w:rPr>
      <w:b/>
      <w:bCs/>
      <w:i w:val="0"/>
      <w:iCs w:val="0"/>
    </w:rPr>
  </w:style>
  <w:style w:type="character" w:customStyle="1" w:styleId="st1">
    <w:name w:val="st1"/>
    <w:basedOn w:val="DefaultParagraphFont"/>
    <w:rsid w:val="00A555C7"/>
  </w:style>
  <w:style w:type="character" w:customStyle="1" w:styleId="CommentTextChar">
    <w:name w:val="Comment Text Char"/>
    <w:basedOn w:val="DefaultParagraphFont"/>
    <w:link w:val="CommentText"/>
    <w:semiHidden/>
    <w:rsid w:val="0039765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20441">
      <w:bodyDiv w:val="1"/>
      <w:marLeft w:val="0"/>
      <w:marRight w:val="0"/>
      <w:marTop w:val="0"/>
      <w:marBottom w:val="0"/>
      <w:divBdr>
        <w:top w:val="none" w:sz="0" w:space="0" w:color="auto"/>
        <w:left w:val="none" w:sz="0" w:space="0" w:color="auto"/>
        <w:bottom w:val="none" w:sz="0" w:space="0" w:color="auto"/>
        <w:right w:val="none" w:sz="0" w:space="0" w:color="auto"/>
      </w:divBdr>
    </w:div>
    <w:div w:id="201018077">
      <w:bodyDiv w:val="1"/>
      <w:marLeft w:val="0"/>
      <w:marRight w:val="0"/>
      <w:marTop w:val="0"/>
      <w:marBottom w:val="0"/>
      <w:divBdr>
        <w:top w:val="none" w:sz="0" w:space="0" w:color="auto"/>
        <w:left w:val="none" w:sz="0" w:space="0" w:color="auto"/>
        <w:bottom w:val="none" w:sz="0" w:space="0" w:color="auto"/>
        <w:right w:val="none" w:sz="0" w:space="0" w:color="auto"/>
      </w:divBdr>
    </w:div>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601493742">
      <w:bodyDiv w:val="1"/>
      <w:marLeft w:val="0"/>
      <w:marRight w:val="0"/>
      <w:marTop w:val="0"/>
      <w:marBottom w:val="0"/>
      <w:divBdr>
        <w:top w:val="none" w:sz="0" w:space="0" w:color="auto"/>
        <w:left w:val="none" w:sz="0" w:space="0" w:color="auto"/>
        <w:bottom w:val="none" w:sz="0" w:space="0" w:color="auto"/>
        <w:right w:val="none" w:sz="0" w:space="0" w:color="auto"/>
      </w:divBdr>
    </w:div>
    <w:div w:id="604193250">
      <w:bodyDiv w:val="1"/>
      <w:marLeft w:val="0"/>
      <w:marRight w:val="0"/>
      <w:marTop w:val="0"/>
      <w:marBottom w:val="0"/>
      <w:divBdr>
        <w:top w:val="none" w:sz="0" w:space="0" w:color="auto"/>
        <w:left w:val="none" w:sz="0" w:space="0" w:color="auto"/>
        <w:bottom w:val="none" w:sz="0" w:space="0" w:color="auto"/>
        <w:right w:val="none" w:sz="0" w:space="0" w:color="auto"/>
      </w:divBdr>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sChild>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862696551">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5NUHHDQN7SK2-1-116818</_dlc_DocId>
    <_dlc_DocIdUrl xmlns="08b2df90-05d3-4030-90d4-c9feeb4a1cd9">
      <Url>https://ericoll.internal.ericsson.com/sites/STAR/_layouts/DocIdRedir.aspx?ID=5NUHHDQN7SK2-1-116818</Url>
      <Description>5NUHHDQN7SK2-1-116818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84CBE-D65C-4DFC-9BB4-C67DCD109C0F}">
  <ds:schemaRefs>
    <ds:schemaRef ds:uri="http://schemas.microsoft.com/sharepoint/v3/contenttype/forms"/>
  </ds:schemaRefs>
</ds:datastoreItem>
</file>

<file path=customXml/itemProps2.xml><?xml version="1.0" encoding="utf-8"?>
<ds:datastoreItem xmlns:ds="http://schemas.openxmlformats.org/officeDocument/2006/customXml" ds:itemID="{01CF89CF-15AB-432D-BE4A-323B83856366}">
  <ds:schemaRefs>
    <ds:schemaRef ds:uri="http://schemas.microsoft.com/sharepoint/events"/>
  </ds:schemaRefs>
</ds:datastoreItem>
</file>

<file path=customXml/itemProps3.xml><?xml version="1.0" encoding="utf-8"?>
<ds:datastoreItem xmlns:ds="http://schemas.openxmlformats.org/officeDocument/2006/customXml" ds:itemID="{CC5AAA52-1BD5-4C35-A4C5-6B758A5C7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3CEE3-03D7-441E-B22C-282D3950E5EC}">
  <ds:schemaRefs>
    <ds:schemaRef ds:uri="http://schemas.microsoft.com/office/2006/metadata/longProperties"/>
  </ds:schemaRefs>
</ds:datastoreItem>
</file>

<file path=customXml/itemProps5.xml><?xml version="1.0" encoding="utf-8"?>
<ds:datastoreItem xmlns:ds="http://schemas.openxmlformats.org/officeDocument/2006/customXml" ds:itemID="{FF135285-4BC0-4BAB-84E7-67EB2D4FEBF1}">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08DC735C-0730-49EB-9945-421F2161BE48}">
  <ds:schemaRefs>
    <ds:schemaRef ds:uri="Microsoft.SharePoint.Taxonomy.ContentTypeSync"/>
  </ds:schemaRefs>
</ds:datastoreItem>
</file>

<file path=customXml/itemProps7.xml><?xml version="1.0" encoding="utf-8"?>
<ds:datastoreItem xmlns:ds="http://schemas.openxmlformats.org/officeDocument/2006/customXml" ds:itemID="{F5B18CFC-4665-DE4F-9033-646D0F81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2569</TotalTime>
  <Pages>3</Pages>
  <Words>933</Words>
  <Characters>5321</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NR; Scheduling; 3GPP; MAC; up</cp:keywords>
  <cp:lastModifiedBy>Henrik Enbuske</cp:lastModifiedBy>
  <cp:revision>519</cp:revision>
  <cp:lastPrinted>2016-12-01T08:25:00Z</cp:lastPrinted>
  <dcterms:created xsi:type="dcterms:W3CDTF">2016-12-13T11:40:00Z</dcterms:created>
  <dcterms:modified xsi:type="dcterms:W3CDTF">2017-05-06T10:25:00Z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5c337ea2-61e2-4827-bade-529e8eb7afa0</vt:lpwstr>
  </property>
</Properties>
</file>